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003" w:rsidRPr="001A774D" w:rsidRDefault="00F92003" w:rsidP="00F92003">
      <w:pPr>
        <w:jc w:val="both"/>
        <w:rPr>
          <w:rFonts w:ascii="Arial" w:hAnsi="Arial" w:cs="Arial"/>
          <w:b/>
          <w:sz w:val="18"/>
          <w:szCs w:val="18"/>
        </w:rPr>
      </w:pPr>
      <w:r w:rsidRPr="001A774D">
        <w:rPr>
          <w:rFonts w:ascii="Arial" w:hAnsi="Arial" w:cs="Arial"/>
          <w:b/>
          <w:sz w:val="18"/>
          <w:szCs w:val="18"/>
        </w:rPr>
        <w:t>H. “LX” Legislatura del Estado de México</w:t>
      </w:r>
    </w:p>
    <w:p w:rsidR="00F92003" w:rsidRPr="001A774D" w:rsidRDefault="00F92003" w:rsidP="00F92003">
      <w:pPr>
        <w:rPr>
          <w:rFonts w:ascii="Arial" w:hAnsi="Arial" w:cs="Arial"/>
          <w:b/>
          <w:sz w:val="18"/>
          <w:szCs w:val="18"/>
        </w:rPr>
      </w:pPr>
      <w:r w:rsidRPr="001A774D">
        <w:rPr>
          <w:rFonts w:ascii="Arial" w:hAnsi="Arial" w:cs="Arial"/>
          <w:b/>
          <w:sz w:val="18"/>
          <w:szCs w:val="18"/>
        </w:rPr>
        <w:t xml:space="preserve">Presente                         </w:t>
      </w:r>
    </w:p>
    <w:p w:rsidR="00F92003" w:rsidRPr="001A774D" w:rsidRDefault="00F92003" w:rsidP="00F92003">
      <w:pPr>
        <w:jc w:val="right"/>
        <w:rPr>
          <w:rFonts w:ascii="Arial" w:hAnsi="Arial" w:cs="Arial"/>
          <w:b/>
          <w:sz w:val="18"/>
          <w:szCs w:val="18"/>
        </w:rPr>
      </w:pPr>
      <w:r w:rsidRPr="001A774D">
        <w:rPr>
          <w:rFonts w:ascii="Arial" w:hAnsi="Arial" w:cs="Arial"/>
          <w:b/>
          <w:sz w:val="18"/>
          <w:szCs w:val="18"/>
        </w:rPr>
        <w:t xml:space="preserve"> At’n:</w:t>
      </w:r>
      <w:r w:rsidR="006972AC">
        <w:rPr>
          <w:rFonts w:ascii="Arial" w:hAnsi="Arial" w:cs="Arial"/>
          <w:b/>
          <w:sz w:val="18"/>
          <w:szCs w:val="18"/>
        </w:rPr>
        <w:t xml:space="preserve"> D en D Miroslava Carrillo Martínez</w:t>
      </w:r>
      <w:r w:rsidRPr="001A774D">
        <w:rPr>
          <w:rFonts w:ascii="Arial" w:hAnsi="Arial" w:cs="Arial"/>
          <w:b/>
          <w:sz w:val="18"/>
          <w:szCs w:val="18"/>
        </w:rPr>
        <w:t xml:space="preserve"> </w:t>
      </w:r>
    </w:p>
    <w:p w:rsidR="00F92003" w:rsidRPr="001A774D" w:rsidRDefault="00F92003" w:rsidP="00F92003">
      <w:pPr>
        <w:jc w:val="right"/>
        <w:rPr>
          <w:rFonts w:ascii="Arial" w:hAnsi="Arial" w:cs="Arial"/>
          <w:b/>
          <w:sz w:val="18"/>
          <w:szCs w:val="18"/>
        </w:rPr>
      </w:pPr>
      <w:r w:rsidRPr="001A774D">
        <w:rPr>
          <w:rFonts w:ascii="Arial" w:hAnsi="Arial" w:cs="Arial"/>
          <w:b/>
          <w:sz w:val="18"/>
          <w:szCs w:val="18"/>
        </w:rPr>
        <w:t>Auditor Superior de Fiscalización del Estado de México</w:t>
      </w:r>
    </w:p>
    <w:p w:rsidR="00F92003" w:rsidRPr="001A774D" w:rsidRDefault="00F92003" w:rsidP="00F92003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F92003" w:rsidRPr="001A774D" w:rsidRDefault="00CB75D3" w:rsidP="00F9200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s-ES"/>
        </w:rPr>
      </w:pPr>
      <w:r w:rsidRPr="001A774D">
        <w:rPr>
          <w:rFonts w:ascii="Arial" w:hAnsi="Arial" w:cs="Arial"/>
          <w:sz w:val="18"/>
          <w:szCs w:val="18"/>
          <w:lang w:val="es-ES"/>
        </w:rPr>
        <w:t>En cumplimiento a</w:t>
      </w:r>
      <w:r w:rsidR="00F92003" w:rsidRPr="001A774D">
        <w:rPr>
          <w:rFonts w:ascii="Arial" w:hAnsi="Arial" w:cs="Arial"/>
          <w:sz w:val="18"/>
          <w:szCs w:val="18"/>
          <w:lang w:val="es-ES"/>
        </w:rPr>
        <w:t xml:space="preserve"> lo establecido en los artículos</w:t>
      </w:r>
      <w:r w:rsidR="00F756C2" w:rsidRPr="001A774D">
        <w:rPr>
          <w:rFonts w:ascii="Arial" w:hAnsi="Arial" w:cs="Arial"/>
          <w:sz w:val="18"/>
          <w:szCs w:val="18"/>
          <w:lang w:val="es-ES"/>
        </w:rPr>
        <w:t xml:space="preserve"> </w:t>
      </w:r>
      <w:r w:rsidR="00F92003" w:rsidRPr="001A774D">
        <w:rPr>
          <w:rFonts w:ascii="Arial" w:hAnsi="Arial" w:cs="Arial"/>
          <w:sz w:val="18"/>
          <w:szCs w:val="18"/>
          <w:lang w:val="es-ES"/>
        </w:rPr>
        <w:t>129, penúltimo párrafo de la Constitución Política del Estado libre y Soberano de México; 35</w:t>
      </w:r>
      <w:r w:rsidR="00F756C2" w:rsidRPr="001A774D">
        <w:rPr>
          <w:rFonts w:ascii="Arial" w:hAnsi="Arial" w:cs="Arial"/>
          <w:sz w:val="18"/>
          <w:szCs w:val="18"/>
          <w:lang w:val="es-ES"/>
        </w:rPr>
        <w:t>, 94, fracción I, y 95</w:t>
      </w:r>
      <w:r w:rsidR="00F92003" w:rsidRPr="001A774D">
        <w:rPr>
          <w:rFonts w:ascii="Arial" w:hAnsi="Arial" w:cs="Arial"/>
          <w:sz w:val="18"/>
          <w:szCs w:val="18"/>
          <w:lang w:val="es-ES"/>
        </w:rPr>
        <w:t xml:space="preserve"> de la Ley Orgánica del Poder Legislativo del Estado Libre y Soberano de México;</w:t>
      </w:r>
      <w:r w:rsidR="00F756C2" w:rsidRPr="001A774D">
        <w:rPr>
          <w:rFonts w:ascii="Arial" w:hAnsi="Arial" w:cs="Arial"/>
          <w:sz w:val="18"/>
          <w:szCs w:val="18"/>
          <w:lang w:val="es-ES"/>
        </w:rPr>
        <w:t xml:space="preserve"> 1,</w:t>
      </w:r>
      <w:r w:rsidRPr="001A774D">
        <w:rPr>
          <w:rFonts w:ascii="Arial" w:hAnsi="Arial" w:cs="Arial"/>
          <w:sz w:val="18"/>
          <w:szCs w:val="18"/>
          <w:lang w:val="es-ES"/>
        </w:rPr>
        <w:t xml:space="preserve"> 4, fracción II,</w:t>
      </w:r>
      <w:r w:rsidR="00F92003" w:rsidRPr="001A774D">
        <w:rPr>
          <w:rFonts w:ascii="Arial" w:hAnsi="Arial" w:cs="Arial"/>
          <w:sz w:val="18"/>
          <w:szCs w:val="18"/>
          <w:lang w:val="es-ES"/>
        </w:rPr>
        <w:t xml:space="preserve"> 8 fracción </w:t>
      </w:r>
      <w:r w:rsidR="00F756C2" w:rsidRPr="001A774D">
        <w:rPr>
          <w:rFonts w:ascii="Arial" w:hAnsi="Arial" w:cs="Arial"/>
          <w:sz w:val="18"/>
          <w:szCs w:val="18"/>
          <w:lang w:val="es-ES"/>
        </w:rPr>
        <w:t xml:space="preserve">III, </w:t>
      </w:r>
      <w:r w:rsidR="00F92003" w:rsidRPr="001A774D">
        <w:rPr>
          <w:rFonts w:ascii="Arial" w:hAnsi="Arial" w:cs="Arial"/>
          <w:sz w:val="18"/>
          <w:szCs w:val="18"/>
          <w:lang w:val="es-ES"/>
        </w:rPr>
        <w:t>XIV</w:t>
      </w:r>
      <w:r w:rsidR="00F756C2" w:rsidRPr="001A774D">
        <w:rPr>
          <w:rFonts w:ascii="Arial" w:hAnsi="Arial" w:cs="Arial"/>
          <w:sz w:val="18"/>
          <w:szCs w:val="18"/>
          <w:lang w:val="es-ES"/>
        </w:rPr>
        <w:t xml:space="preserve"> y XXXVI</w:t>
      </w:r>
      <w:r w:rsidR="00F92003" w:rsidRPr="001A774D">
        <w:rPr>
          <w:rFonts w:ascii="Arial" w:hAnsi="Arial" w:cs="Arial"/>
          <w:sz w:val="18"/>
          <w:szCs w:val="18"/>
          <w:lang w:val="es-ES"/>
        </w:rPr>
        <w:t xml:space="preserve"> y 32, párrafos segundo y tercero de la Ley de Fiscalización Superior del Estado de México; 46, fracción I incisos a), b), c), e), y f), fracción II, incisos a) y b), 48, 52, 53, 54 y 55 de la Ley General de Contabilidad Gubernamental; </w:t>
      </w:r>
      <w:r w:rsidR="00D13205" w:rsidRPr="001A774D">
        <w:rPr>
          <w:rFonts w:ascii="Arial" w:hAnsi="Arial" w:cs="Arial"/>
          <w:sz w:val="18"/>
          <w:szCs w:val="18"/>
          <w:lang w:val="es-ES"/>
        </w:rPr>
        <w:t>numeral 3 inciso d) de la Adición al</w:t>
      </w:r>
      <w:r w:rsidR="00F92003" w:rsidRPr="001A774D">
        <w:rPr>
          <w:rFonts w:ascii="Arial" w:hAnsi="Arial" w:cs="Arial"/>
          <w:sz w:val="18"/>
          <w:szCs w:val="18"/>
          <w:lang w:val="es-ES"/>
        </w:rPr>
        <w:t xml:space="preserve"> Acuerdo por el que se armoniza la estructura de las Cuentas Públicas, publicado en el Diario Oficial de la Federación el </w:t>
      </w:r>
      <w:r w:rsidR="00D13205" w:rsidRPr="001A774D">
        <w:rPr>
          <w:rFonts w:ascii="Arial" w:hAnsi="Arial" w:cs="Arial"/>
          <w:sz w:val="18"/>
          <w:szCs w:val="18"/>
          <w:lang w:val="es-ES"/>
        </w:rPr>
        <w:t>seis de octubre de dos mil catorce</w:t>
      </w:r>
      <w:r w:rsidR="00F92003" w:rsidRPr="001A774D">
        <w:rPr>
          <w:rFonts w:ascii="Arial" w:hAnsi="Arial" w:cs="Arial"/>
          <w:sz w:val="18"/>
          <w:szCs w:val="18"/>
          <w:lang w:val="es-ES"/>
        </w:rPr>
        <w:t xml:space="preserve">; así como en los Lineamientos para la Elaboración y Presentación de </w:t>
      </w:r>
      <w:r w:rsidRPr="001A774D">
        <w:rPr>
          <w:rFonts w:ascii="Arial" w:hAnsi="Arial" w:cs="Arial"/>
          <w:sz w:val="18"/>
          <w:szCs w:val="18"/>
          <w:lang w:val="es-ES"/>
        </w:rPr>
        <w:t xml:space="preserve">la Cuenta Pública Municipal </w:t>
      </w:r>
      <w:r w:rsidR="006972AC">
        <w:rPr>
          <w:rFonts w:ascii="Arial" w:hAnsi="Arial" w:cs="Arial"/>
          <w:sz w:val="18"/>
          <w:szCs w:val="18"/>
          <w:lang w:val="es-ES"/>
        </w:rPr>
        <w:t>2019</w:t>
      </w:r>
      <w:r w:rsidR="00F92003" w:rsidRPr="001A774D">
        <w:rPr>
          <w:rFonts w:ascii="Arial" w:hAnsi="Arial" w:cs="Arial"/>
          <w:sz w:val="18"/>
          <w:szCs w:val="18"/>
          <w:lang w:val="es-ES"/>
        </w:rPr>
        <w:t xml:space="preserve">; se remite a esta H. Legislatura, la Cuenta </w:t>
      </w:r>
      <w:r w:rsidRPr="001A774D">
        <w:rPr>
          <w:rFonts w:ascii="Arial" w:hAnsi="Arial" w:cs="Arial"/>
          <w:sz w:val="18"/>
          <w:szCs w:val="18"/>
          <w:lang w:val="es-ES"/>
        </w:rPr>
        <w:t xml:space="preserve">Pública Anual del ejercicio </w:t>
      </w:r>
      <w:r w:rsidR="006972AC">
        <w:rPr>
          <w:rFonts w:ascii="Arial" w:hAnsi="Arial" w:cs="Arial"/>
          <w:sz w:val="18"/>
          <w:szCs w:val="18"/>
          <w:lang w:val="es-ES"/>
        </w:rPr>
        <w:t>2019</w:t>
      </w:r>
      <w:r w:rsidR="00F92003" w:rsidRPr="001A774D">
        <w:rPr>
          <w:rFonts w:ascii="Arial" w:hAnsi="Arial" w:cs="Arial"/>
          <w:sz w:val="18"/>
          <w:szCs w:val="18"/>
          <w:lang w:val="es-ES"/>
        </w:rPr>
        <w:t xml:space="preserve">, a cargo del Ayuntamiento de </w:t>
      </w:r>
      <w:r w:rsidR="006972AC">
        <w:rPr>
          <w:rFonts w:ascii="Arial" w:hAnsi="Arial" w:cs="Arial"/>
          <w:sz w:val="18"/>
          <w:szCs w:val="18"/>
          <w:lang w:val="es-ES"/>
        </w:rPr>
        <w:t>Tenango del Aire</w:t>
      </w:r>
      <w:r w:rsidR="00F92003" w:rsidRPr="001A774D">
        <w:rPr>
          <w:rFonts w:ascii="Arial" w:hAnsi="Arial" w:cs="Arial"/>
          <w:sz w:val="18"/>
          <w:szCs w:val="18"/>
          <w:lang w:val="es-ES"/>
        </w:rPr>
        <w:t>, México, la cual se integra como sigue:</w:t>
      </w:r>
    </w:p>
    <w:p w:rsidR="00F92003" w:rsidRPr="001A774D" w:rsidRDefault="00F92003" w:rsidP="00F92003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sz w:val="18"/>
          <w:szCs w:val="18"/>
          <w:lang w:val="es-MX" w:eastAsia="es-MX"/>
        </w:rPr>
      </w:pPr>
    </w:p>
    <w:p w:rsidR="00F92003" w:rsidRPr="001A774D" w:rsidRDefault="00F92003" w:rsidP="00F92003">
      <w:pPr>
        <w:jc w:val="both"/>
        <w:rPr>
          <w:rFonts w:ascii="Arial" w:hAnsi="Arial" w:cs="Arial"/>
          <w:b/>
          <w:sz w:val="18"/>
          <w:szCs w:val="18"/>
        </w:rPr>
      </w:pPr>
      <w:r w:rsidRPr="001A774D">
        <w:rPr>
          <w:rFonts w:ascii="Arial" w:hAnsi="Arial" w:cs="Arial"/>
          <w:b/>
          <w:sz w:val="18"/>
          <w:szCs w:val="18"/>
        </w:rPr>
        <w:t xml:space="preserve"> (Describir todos los documentos impresos y los archivos que se integran en los Discos)</w:t>
      </w:r>
    </w:p>
    <w:p w:rsidR="00F92003" w:rsidRPr="001A774D" w:rsidRDefault="00F92003" w:rsidP="00F92003">
      <w:pPr>
        <w:jc w:val="both"/>
        <w:rPr>
          <w:rFonts w:ascii="Arial" w:hAnsi="Arial" w:cs="Arial"/>
          <w:b/>
          <w:sz w:val="18"/>
          <w:szCs w:val="18"/>
        </w:rPr>
      </w:pPr>
    </w:p>
    <w:p w:rsidR="00F92003" w:rsidRPr="001A774D" w:rsidRDefault="00D36E55" w:rsidP="00F92003">
      <w:pPr>
        <w:snapToGrid w:val="0"/>
        <w:jc w:val="both"/>
        <w:rPr>
          <w:rFonts w:ascii="Arial" w:hAnsi="Arial" w:cs="Arial"/>
          <w:b/>
          <w:sz w:val="18"/>
          <w:szCs w:val="18"/>
        </w:rPr>
      </w:pPr>
      <w:r w:rsidRPr="001A774D">
        <w:rPr>
          <w:rFonts w:ascii="Arial" w:hAnsi="Arial" w:cs="Arial"/>
          <w:b/>
          <w:sz w:val="18"/>
          <w:szCs w:val="18"/>
        </w:rPr>
        <w:t xml:space="preserve">INFORMACIÓN </w:t>
      </w:r>
      <w:r w:rsidR="00F92003" w:rsidRPr="001A774D">
        <w:rPr>
          <w:rFonts w:ascii="Arial" w:hAnsi="Arial" w:cs="Arial"/>
          <w:b/>
          <w:sz w:val="18"/>
          <w:szCs w:val="18"/>
        </w:rPr>
        <w:t>IMPRES</w:t>
      </w:r>
      <w:r w:rsidR="006D5E34" w:rsidRPr="001A774D">
        <w:rPr>
          <w:rFonts w:ascii="Arial" w:hAnsi="Arial" w:cs="Arial"/>
          <w:b/>
          <w:sz w:val="18"/>
          <w:szCs w:val="18"/>
        </w:rPr>
        <w:t>A</w:t>
      </w:r>
      <w:r w:rsidR="00F92003" w:rsidRPr="001A774D">
        <w:rPr>
          <w:rFonts w:ascii="Arial" w:hAnsi="Arial" w:cs="Arial"/>
          <w:b/>
          <w:sz w:val="18"/>
          <w:szCs w:val="18"/>
        </w:rPr>
        <w:t>:</w:t>
      </w:r>
    </w:p>
    <w:p w:rsidR="00F92003" w:rsidRPr="001A774D" w:rsidRDefault="00F92003" w:rsidP="00F92003">
      <w:pPr>
        <w:numPr>
          <w:ilvl w:val="0"/>
          <w:numId w:val="1"/>
        </w:numPr>
        <w:ind w:left="1423" w:hanging="357"/>
        <w:contextualSpacing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Estado de Situación Financiera Comparativo.</w:t>
      </w:r>
    </w:p>
    <w:p w:rsidR="00F92003" w:rsidRPr="001A774D" w:rsidRDefault="00F92003" w:rsidP="00F92003">
      <w:pPr>
        <w:numPr>
          <w:ilvl w:val="0"/>
          <w:numId w:val="1"/>
        </w:numPr>
        <w:ind w:left="1423" w:hanging="357"/>
        <w:contextualSpacing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Estado de Actividades Comparativo.</w:t>
      </w:r>
    </w:p>
    <w:p w:rsidR="00F92003" w:rsidRPr="001A774D" w:rsidRDefault="00F92003" w:rsidP="00F92003">
      <w:pPr>
        <w:numPr>
          <w:ilvl w:val="0"/>
          <w:numId w:val="1"/>
        </w:numPr>
        <w:ind w:left="1423" w:hanging="357"/>
        <w:contextualSpacing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Estado Analítico de Ingresos.</w:t>
      </w:r>
    </w:p>
    <w:p w:rsidR="00F92003" w:rsidRPr="001A774D" w:rsidRDefault="00F92003" w:rsidP="00F92003">
      <w:pPr>
        <w:numPr>
          <w:ilvl w:val="0"/>
          <w:numId w:val="1"/>
        </w:numPr>
        <w:ind w:left="1423" w:hanging="357"/>
        <w:contextualSpacing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 xml:space="preserve">Estado Analítico del Ejercicio del Presupuesto de Egresos Clasificación por Objeto del Gasto (Capítulo y Concepto) </w:t>
      </w:r>
    </w:p>
    <w:p w:rsidR="00F92003" w:rsidRPr="001A774D" w:rsidRDefault="00F92003" w:rsidP="00F92003">
      <w:pPr>
        <w:numPr>
          <w:ilvl w:val="0"/>
          <w:numId w:val="1"/>
        </w:numPr>
        <w:ind w:left="1423" w:hanging="357"/>
        <w:contextualSpacing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Carta de Afirmaciones.</w:t>
      </w:r>
    </w:p>
    <w:p w:rsidR="00D36E55" w:rsidRPr="001A774D" w:rsidRDefault="00D36E55" w:rsidP="00D36E55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Copia del aviso de dictamen sobre la determinación y el pago del impuesto sobre erogaciones por remuneraciones al trabajo personal correspondiente al ejercicio 2019 a más tardar el día 03 de agosto  de 2020.</w:t>
      </w:r>
    </w:p>
    <w:p w:rsidR="00D36E55" w:rsidRPr="001A774D" w:rsidRDefault="00D36E55" w:rsidP="00D36E55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Copia del dictamen y acuse de presentación del dictamen sobre la determinación y el pago del impuesto sobre erogaciones por remuneraciones al trabajo personal correspondiente al ejercicio 2019 a más tardar el día 01 de septiembre  de 2020.</w:t>
      </w:r>
    </w:p>
    <w:p w:rsidR="00F92003" w:rsidRPr="001A774D" w:rsidRDefault="00F92003" w:rsidP="00F92003">
      <w:pPr>
        <w:snapToGrid w:val="0"/>
        <w:ind w:left="1428"/>
        <w:contextualSpacing/>
        <w:jc w:val="both"/>
        <w:rPr>
          <w:rFonts w:ascii="Arial" w:hAnsi="Arial" w:cs="Arial"/>
          <w:b/>
          <w:sz w:val="18"/>
          <w:szCs w:val="18"/>
          <w:highlight w:val="yellow"/>
        </w:rPr>
      </w:pPr>
    </w:p>
    <w:p w:rsidR="00F92003" w:rsidRPr="001A774D" w:rsidRDefault="00F92003" w:rsidP="00F92003">
      <w:pPr>
        <w:snapToGrid w:val="0"/>
        <w:jc w:val="both"/>
        <w:rPr>
          <w:rFonts w:ascii="Arial" w:hAnsi="Arial" w:cs="Arial"/>
          <w:b/>
          <w:sz w:val="18"/>
          <w:szCs w:val="18"/>
        </w:rPr>
      </w:pPr>
      <w:r w:rsidRPr="001A774D">
        <w:rPr>
          <w:rFonts w:ascii="Arial" w:hAnsi="Arial" w:cs="Arial"/>
          <w:b/>
          <w:sz w:val="18"/>
          <w:szCs w:val="18"/>
        </w:rPr>
        <w:t>3 Discos que contienen:</w:t>
      </w:r>
    </w:p>
    <w:p w:rsidR="00F92003" w:rsidRPr="001A774D" w:rsidRDefault="00F92003" w:rsidP="00F92003">
      <w:pPr>
        <w:snapToGrid w:val="0"/>
        <w:jc w:val="both"/>
        <w:rPr>
          <w:rFonts w:ascii="Arial" w:hAnsi="Arial" w:cs="Arial"/>
          <w:b/>
          <w:sz w:val="18"/>
          <w:szCs w:val="18"/>
        </w:rPr>
      </w:pPr>
      <w:r w:rsidRPr="001A774D">
        <w:rPr>
          <w:rFonts w:ascii="Arial" w:hAnsi="Arial" w:cs="Arial"/>
          <w:b/>
          <w:sz w:val="18"/>
          <w:szCs w:val="18"/>
        </w:rPr>
        <w:t>INFORMACIÓN CONTABLE:</w:t>
      </w:r>
    </w:p>
    <w:p w:rsidR="00F92003" w:rsidRPr="001A774D" w:rsidRDefault="00F92003" w:rsidP="00F92003">
      <w:pPr>
        <w:snapToGrid w:val="0"/>
        <w:jc w:val="both"/>
        <w:rPr>
          <w:rFonts w:ascii="Arial" w:hAnsi="Arial" w:cs="Arial"/>
          <w:b/>
          <w:sz w:val="18"/>
          <w:szCs w:val="18"/>
        </w:rPr>
      </w:pPr>
    </w:p>
    <w:p w:rsidR="00F92003" w:rsidRPr="001A774D" w:rsidRDefault="00F92003" w:rsidP="00F92003">
      <w:pPr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Estado de Situación Financiera Comparativo.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Estado de Actividades Comparativo.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 xml:space="preserve">Estado de Variación en la Hacienda Pública. 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 xml:space="preserve">Estado de Cambios en la Situación Financiera. 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Estado de Flujos de Efectivo.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Estado Analítico del Activo.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Estado Analítico de la Deuda y Otros Pasivos.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75"/>
        </w:tabs>
        <w:ind w:left="720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bCs/>
          <w:sz w:val="18"/>
          <w:szCs w:val="18"/>
        </w:rPr>
        <w:t>Notas a los Estados Financieros (notas de Desglose, Memoria y Gestión Administrativa)</w:t>
      </w:r>
      <w:r w:rsidRPr="001A774D">
        <w:rPr>
          <w:rFonts w:ascii="Arial" w:hAnsi="Arial" w:cs="Arial"/>
          <w:sz w:val="18"/>
          <w:szCs w:val="18"/>
        </w:rPr>
        <w:t>.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75"/>
        </w:tabs>
        <w:ind w:left="720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Estado de Situación Financiera Consolidado.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75"/>
        </w:tabs>
        <w:ind w:left="720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Estado de Actividades Consolidado.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75"/>
        </w:tabs>
        <w:ind w:left="720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Estado de Variación en la Hacienda Pública Consolidado.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75"/>
        </w:tabs>
        <w:ind w:left="720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Estado de Cambios en la Situación Financiera Consolidado.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75"/>
        </w:tabs>
        <w:ind w:left="720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Estado de Flujos de Efectivo Consolidado.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75"/>
        </w:tabs>
        <w:ind w:left="720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Estado de Situación Financiera Detallado</w:t>
      </w:r>
      <w:r w:rsidR="00CE305D" w:rsidRPr="001A774D">
        <w:rPr>
          <w:rFonts w:ascii="Arial" w:hAnsi="Arial" w:cs="Arial"/>
          <w:sz w:val="18"/>
          <w:szCs w:val="18"/>
        </w:rPr>
        <w:t xml:space="preserve"> LDF</w:t>
      </w:r>
      <w:r w:rsidRPr="001A774D">
        <w:rPr>
          <w:rFonts w:ascii="Arial" w:hAnsi="Arial" w:cs="Arial"/>
          <w:sz w:val="18"/>
          <w:szCs w:val="18"/>
        </w:rPr>
        <w:t>.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75"/>
        </w:tabs>
        <w:ind w:left="720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Informe Analítico de la Deuda Pública y Otros Pasivos</w:t>
      </w:r>
      <w:r w:rsidR="00CE305D" w:rsidRPr="001A774D">
        <w:rPr>
          <w:rFonts w:ascii="Arial" w:hAnsi="Arial" w:cs="Arial"/>
          <w:sz w:val="18"/>
          <w:szCs w:val="18"/>
        </w:rPr>
        <w:t xml:space="preserve"> LDF</w:t>
      </w:r>
      <w:r w:rsidRPr="001A774D">
        <w:rPr>
          <w:rFonts w:ascii="Arial" w:hAnsi="Arial" w:cs="Arial"/>
          <w:sz w:val="18"/>
          <w:szCs w:val="18"/>
        </w:rPr>
        <w:t>.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75"/>
        </w:tabs>
        <w:ind w:left="720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Informe Analítico de Obligaciones Diferentes de Financiamientos</w:t>
      </w:r>
      <w:r w:rsidR="00CE305D" w:rsidRPr="001A774D">
        <w:rPr>
          <w:rFonts w:ascii="Arial" w:hAnsi="Arial" w:cs="Arial"/>
          <w:sz w:val="18"/>
          <w:szCs w:val="18"/>
        </w:rPr>
        <w:t xml:space="preserve"> LDF</w:t>
      </w:r>
      <w:r w:rsidRPr="001A774D">
        <w:rPr>
          <w:rFonts w:ascii="Arial" w:hAnsi="Arial" w:cs="Arial"/>
          <w:sz w:val="18"/>
          <w:szCs w:val="18"/>
        </w:rPr>
        <w:t>.</w:t>
      </w:r>
    </w:p>
    <w:p w:rsidR="00CE305D" w:rsidRPr="001A774D" w:rsidRDefault="00F92003" w:rsidP="00CE305D">
      <w:pPr>
        <w:numPr>
          <w:ilvl w:val="0"/>
          <w:numId w:val="2"/>
        </w:numPr>
        <w:tabs>
          <w:tab w:val="left" w:pos="975"/>
        </w:tabs>
        <w:ind w:left="720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bCs/>
          <w:sz w:val="18"/>
          <w:szCs w:val="18"/>
        </w:rPr>
        <w:t>Guía de cumplimiento de la Ley de Disciplina Financiera de las Entidades Federativas y los Municipios</w:t>
      </w:r>
      <w:r w:rsidR="00CE305D" w:rsidRPr="001A774D">
        <w:rPr>
          <w:rFonts w:ascii="Arial" w:hAnsi="Arial" w:cs="Arial"/>
          <w:bCs/>
          <w:sz w:val="18"/>
          <w:szCs w:val="18"/>
        </w:rPr>
        <w:t xml:space="preserve"> LDF</w:t>
      </w:r>
    </w:p>
    <w:p w:rsidR="00F92003" w:rsidRPr="001A774D" w:rsidRDefault="00CE305D" w:rsidP="00CE305D">
      <w:pPr>
        <w:numPr>
          <w:ilvl w:val="0"/>
          <w:numId w:val="2"/>
        </w:numPr>
        <w:tabs>
          <w:tab w:val="left" w:pos="975"/>
        </w:tabs>
        <w:ind w:left="720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bCs/>
          <w:sz w:val="18"/>
          <w:szCs w:val="18"/>
        </w:rPr>
        <w:t>Formato 6d Estado Analítico del Ejercicio del Presupuesto de Egresos Detallado LDF (Clasificación de Servicios Personales por Categoría)</w:t>
      </w:r>
      <w:r w:rsidR="00F92003" w:rsidRPr="001A774D">
        <w:rPr>
          <w:rFonts w:ascii="Arial" w:hAnsi="Arial" w:cs="Arial"/>
          <w:bCs/>
          <w:sz w:val="18"/>
          <w:szCs w:val="18"/>
        </w:rPr>
        <w:t>.</w:t>
      </w:r>
    </w:p>
    <w:p w:rsidR="00F92003" w:rsidRPr="001A774D" w:rsidRDefault="00F92003" w:rsidP="00F92003">
      <w:pPr>
        <w:tabs>
          <w:tab w:val="left" w:pos="989"/>
        </w:tabs>
        <w:jc w:val="both"/>
        <w:rPr>
          <w:rFonts w:ascii="Arial" w:hAnsi="Arial" w:cs="Arial"/>
          <w:b/>
          <w:sz w:val="18"/>
          <w:szCs w:val="18"/>
        </w:rPr>
      </w:pPr>
    </w:p>
    <w:p w:rsidR="006972AC" w:rsidRDefault="006972AC" w:rsidP="00F92003">
      <w:pPr>
        <w:tabs>
          <w:tab w:val="left" w:pos="989"/>
        </w:tabs>
        <w:jc w:val="both"/>
        <w:rPr>
          <w:rFonts w:ascii="Arial" w:hAnsi="Arial" w:cs="Arial"/>
          <w:b/>
          <w:sz w:val="18"/>
          <w:szCs w:val="18"/>
        </w:rPr>
      </w:pPr>
    </w:p>
    <w:p w:rsidR="00F92003" w:rsidRPr="001A774D" w:rsidRDefault="00F92003" w:rsidP="00F92003">
      <w:pPr>
        <w:tabs>
          <w:tab w:val="left" w:pos="989"/>
        </w:tabs>
        <w:jc w:val="both"/>
        <w:rPr>
          <w:rFonts w:ascii="Arial" w:hAnsi="Arial" w:cs="Arial"/>
          <w:b/>
          <w:sz w:val="18"/>
          <w:szCs w:val="18"/>
        </w:rPr>
      </w:pPr>
      <w:r w:rsidRPr="001A774D">
        <w:rPr>
          <w:rFonts w:ascii="Arial" w:hAnsi="Arial" w:cs="Arial"/>
          <w:b/>
          <w:sz w:val="18"/>
          <w:szCs w:val="18"/>
        </w:rPr>
        <w:lastRenderedPageBreak/>
        <w:t>INFORMACIÓN PRESUPUESTARIA:</w:t>
      </w:r>
    </w:p>
    <w:p w:rsidR="00F92003" w:rsidRPr="001A774D" w:rsidRDefault="00F92003" w:rsidP="00F92003">
      <w:pPr>
        <w:tabs>
          <w:tab w:val="left" w:pos="989"/>
        </w:tabs>
        <w:jc w:val="both"/>
        <w:rPr>
          <w:rFonts w:ascii="Arial" w:hAnsi="Arial" w:cs="Arial"/>
          <w:b/>
          <w:sz w:val="18"/>
          <w:szCs w:val="18"/>
        </w:rPr>
      </w:pPr>
    </w:p>
    <w:p w:rsidR="00F92003" w:rsidRPr="001A774D" w:rsidRDefault="00F92003" w:rsidP="00F92003">
      <w:pPr>
        <w:numPr>
          <w:ilvl w:val="0"/>
          <w:numId w:val="2"/>
        </w:numPr>
        <w:tabs>
          <w:tab w:val="left" w:pos="975"/>
        </w:tabs>
        <w:ind w:left="714" w:hanging="357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 xml:space="preserve">Estado Analítico de Ingresos. 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75"/>
        </w:tabs>
        <w:ind w:left="714" w:hanging="357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Estado Analítico del Ejercicio del Presupuesto de Egresos Clasificación por Objeto del Gasto (Capítulo y Concepto).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75"/>
        </w:tabs>
        <w:ind w:left="714" w:hanging="357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Estado Analítico de Ingresos Integrado.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75"/>
        </w:tabs>
        <w:ind w:left="714" w:hanging="357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Estado Analítico del Ejercicio del Presupuesto de Egresos Integrado.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75"/>
        </w:tabs>
        <w:ind w:left="714" w:hanging="357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Estado Analítico del Ejercicio del Presupuesto de Egresos Clasificación Económica (por Tipo de Gasto).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75"/>
        </w:tabs>
        <w:ind w:left="714" w:hanging="357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Estado Analítico del Ejercicio del Presupuesto de Egresos Clasificación Administrativa.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75"/>
        </w:tabs>
        <w:ind w:left="714" w:hanging="357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Estado Analítico del Ejercicio del Presupuesto de Egresos Clasificación Funcional (Finalidad y Función).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75"/>
        </w:tabs>
        <w:ind w:left="714" w:hanging="357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Gasto por Categoría Programática.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75"/>
        </w:tabs>
        <w:ind w:left="714" w:hanging="357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Archivo de texto plano (.</w:t>
      </w:r>
      <w:proofErr w:type="spellStart"/>
      <w:r w:rsidRPr="001A774D">
        <w:rPr>
          <w:rFonts w:ascii="Arial" w:hAnsi="Arial" w:cs="Arial"/>
          <w:sz w:val="18"/>
          <w:szCs w:val="18"/>
        </w:rPr>
        <w:t>txt</w:t>
      </w:r>
      <w:proofErr w:type="spellEnd"/>
      <w:r w:rsidRPr="001A774D">
        <w:rPr>
          <w:rFonts w:ascii="Arial" w:hAnsi="Arial" w:cs="Arial"/>
          <w:sz w:val="18"/>
          <w:szCs w:val="18"/>
        </w:rPr>
        <w:t>) del Estado Analítico de Ingresos.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75"/>
        </w:tabs>
        <w:ind w:left="714" w:hanging="357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 xml:space="preserve"> Archivo de texto plano (.</w:t>
      </w:r>
      <w:proofErr w:type="spellStart"/>
      <w:r w:rsidRPr="001A774D">
        <w:rPr>
          <w:rFonts w:ascii="Arial" w:hAnsi="Arial" w:cs="Arial"/>
          <w:sz w:val="18"/>
          <w:szCs w:val="18"/>
        </w:rPr>
        <w:t>txt</w:t>
      </w:r>
      <w:proofErr w:type="spellEnd"/>
      <w:r w:rsidRPr="001A774D">
        <w:rPr>
          <w:rFonts w:ascii="Arial" w:hAnsi="Arial" w:cs="Arial"/>
          <w:sz w:val="18"/>
          <w:szCs w:val="18"/>
        </w:rPr>
        <w:t>) del Estado Analítico del Ejercicio del Presupuesto de Egresos.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89"/>
        </w:tabs>
        <w:ind w:left="714" w:hanging="357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Archivo de texto plano (.</w:t>
      </w:r>
      <w:proofErr w:type="spellStart"/>
      <w:r w:rsidRPr="001A774D">
        <w:rPr>
          <w:rFonts w:ascii="Arial" w:hAnsi="Arial" w:cs="Arial"/>
          <w:sz w:val="18"/>
          <w:szCs w:val="18"/>
        </w:rPr>
        <w:t>txt</w:t>
      </w:r>
      <w:proofErr w:type="spellEnd"/>
      <w:r w:rsidRPr="001A774D">
        <w:rPr>
          <w:rFonts w:ascii="Arial" w:hAnsi="Arial" w:cs="Arial"/>
          <w:sz w:val="18"/>
          <w:szCs w:val="18"/>
        </w:rPr>
        <w:t>) de los estados presupuestarios de ingresos y egresos integrados.</w:t>
      </w:r>
    </w:p>
    <w:p w:rsidR="00F92003" w:rsidRPr="001A774D" w:rsidRDefault="00F92003" w:rsidP="00F92003">
      <w:pPr>
        <w:tabs>
          <w:tab w:val="left" w:pos="989"/>
        </w:tabs>
        <w:ind w:left="714"/>
        <w:jc w:val="both"/>
        <w:rPr>
          <w:rFonts w:ascii="Arial" w:hAnsi="Arial" w:cs="Arial"/>
          <w:sz w:val="18"/>
          <w:szCs w:val="18"/>
        </w:rPr>
      </w:pPr>
    </w:p>
    <w:p w:rsidR="00F92003" w:rsidRPr="001A774D" w:rsidRDefault="00F92003" w:rsidP="00F92003">
      <w:pPr>
        <w:tabs>
          <w:tab w:val="left" w:pos="989"/>
        </w:tabs>
        <w:jc w:val="both"/>
        <w:rPr>
          <w:rFonts w:ascii="Arial" w:hAnsi="Arial" w:cs="Arial"/>
          <w:b/>
          <w:sz w:val="18"/>
          <w:szCs w:val="18"/>
        </w:rPr>
      </w:pPr>
      <w:r w:rsidRPr="001A774D">
        <w:rPr>
          <w:rFonts w:ascii="Arial" w:hAnsi="Arial" w:cs="Arial"/>
          <w:b/>
          <w:sz w:val="18"/>
          <w:szCs w:val="18"/>
        </w:rPr>
        <w:t>INFORMACIÓN PROGRAMÁTICA:</w:t>
      </w:r>
    </w:p>
    <w:p w:rsidR="00F92003" w:rsidRPr="001A774D" w:rsidRDefault="00F92003" w:rsidP="00F92003">
      <w:pPr>
        <w:tabs>
          <w:tab w:val="left" w:pos="989"/>
        </w:tabs>
        <w:jc w:val="both"/>
        <w:rPr>
          <w:rFonts w:ascii="Arial" w:hAnsi="Arial" w:cs="Arial"/>
          <w:b/>
          <w:sz w:val="18"/>
          <w:szCs w:val="18"/>
        </w:rPr>
      </w:pPr>
    </w:p>
    <w:p w:rsidR="00F92003" w:rsidRPr="001A774D" w:rsidRDefault="00F92003" w:rsidP="00F92003">
      <w:pPr>
        <w:numPr>
          <w:ilvl w:val="0"/>
          <w:numId w:val="2"/>
        </w:numPr>
        <w:tabs>
          <w:tab w:val="left" w:pos="989"/>
        </w:tabs>
        <w:ind w:left="714" w:hanging="357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 xml:space="preserve">Calendarización de Metas de actividad por proyecto (PbRM-02a). 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75"/>
        </w:tabs>
        <w:ind w:left="714" w:hanging="357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Matrices de Indicadores para Resultados 2019, por Programa Presupuestario y Dependencia General (</w:t>
      </w:r>
      <w:proofErr w:type="spellStart"/>
      <w:r w:rsidRPr="001A774D">
        <w:rPr>
          <w:rFonts w:ascii="Arial" w:hAnsi="Arial" w:cs="Arial"/>
          <w:sz w:val="18"/>
          <w:szCs w:val="18"/>
        </w:rPr>
        <w:t>PbRM</w:t>
      </w:r>
      <w:proofErr w:type="spellEnd"/>
      <w:r w:rsidRPr="001A774D">
        <w:rPr>
          <w:rFonts w:ascii="Arial" w:hAnsi="Arial" w:cs="Arial"/>
          <w:sz w:val="18"/>
          <w:szCs w:val="18"/>
        </w:rPr>
        <w:t>- 01-e).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75"/>
        </w:tabs>
        <w:ind w:left="714" w:hanging="357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 xml:space="preserve">Fichas Técnicas de Diseño de Indicadores Estratégicos o de Gestión 2019 (PbRM-01d). 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75"/>
        </w:tabs>
        <w:ind w:left="714" w:hanging="357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 xml:space="preserve">Fichas Técnicas de Seguimiento de Indicadores 2019 de Gestión o Estratégicos (PbRM-08b).  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75"/>
        </w:tabs>
        <w:ind w:left="714" w:hanging="357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Avance trimestral de metas de actividad por proyecto (AM) del formato PBRM-08C.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75"/>
        </w:tabs>
        <w:ind w:left="714" w:hanging="357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 xml:space="preserve">Informe Anual de Ejecución del Plan Desarrollo Municipal del ejercicio 2019. 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75"/>
        </w:tabs>
        <w:ind w:left="714" w:hanging="357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Indicador de Puntos “Documentos para el Desarrollo Institucional”.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75"/>
        </w:tabs>
        <w:ind w:left="714" w:hanging="357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Indicador de Puntos “Transparencia en el Ámbito Municipal”.</w:t>
      </w:r>
    </w:p>
    <w:p w:rsidR="00F92003" w:rsidRPr="001A774D" w:rsidRDefault="00F92003" w:rsidP="00F92003">
      <w:pPr>
        <w:tabs>
          <w:tab w:val="left" w:pos="975"/>
        </w:tabs>
        <w:ind w:left="720"/>
        <w:jc w:val="both"/>
        <w:rPr>
          <w:rFonts w:ascii="Arial" w:hAnsi="Arial" w:cs="Arial"/>
          <w:sz w:val="18"/>
          <w:szCs w:val="18"/>
        </w:rPr>
      </w:pPr>
    </w:p>
    <w:p w:rsidR="00F92003" w:rsidRPr="001A774D" w:rsidRDefault="00F92003" w:rsidP="00F92003">
      <w:pPr>
        <w:tabs>
          <w:tab w:val="left" w:pos="989"/>
        </w:tabs>
        <w:jc w:val="both"/>
        <w:rPr>
          <w:rFonts w:ascii="Arial" w:hAnsi="Arial" w:cs="Arial"/>
          <w:b/>
          <w:sz w:val="18"/>
          <w:szCs w:val="18"/>
        </w:rPr>
      </w:pPr>
      <w:r w:rsidRPr="001A774D">
        <w:rPr>
          <w:rFonts w:ascii="Arial" w:hAnsi="Arial" w:cs="Arial"/>
          <w:b/>
          <w:sz w:val="18"/>
          <w:szCs w:val="18"/>
        </w:rPr>
        <w:t>INFORMACIÓN COMPLEMENTARIA:</w:t>
      </w:r>
    </w:p>
    <w:p w:rsidR="00040E1B" w:rsidRPr="001A774D" w:rsidRDefault="00040E1B" w:rsidP="00F92003">
      <w:pPr>
        <w:tabs>
          <w:tab w:val="left" w:pos="989"/>
        </w:tabs>
        <w:jc w:val="both"/>
        <w:rPr>
          <w:rFonts w:ascii="Arial" w:hAnsi="Arial" w:cs="Arial"/>
          <w:b/>
          <w:sz w:val="18"/>
          <w:szCs w:val="18"/>
        </w:rPr>
      </w:pPr>
    </w:p>
    <w:p w:rsidR="00F92003" w:rsidRPr="001A774D" w:rsidRDefault="00F92003" w:rsidP="00F92003">
      <w:pPr>
        <w:numPr>
          <w:ilvl w:val="0"/>
          <w:numId w:val="2"/>
        </w:numPr>
        <w:tabs>
          <w:tab w:val="left" w:pos="989"/>
        </w:tabs>
        <w:ind w:left="714" w:hanging="357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eastAsia="Arial" w:hAnsi="Arial" w:cs="Arial"/>
          <w:spacing w:val="-3"/>
          <w:sz w:val="18"/>
          <w:szCs w:val="18"/>
        </w:rPr>
        <w:t>Anexo al Estado de Situación Financiera.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89"/>
        </w:tabs>
        <w:ind w:left="714" w:hanging="357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eastAsia="Arial" w:hAnsi="Arial" w:cs="Arial"/>
          <w:spacing w:val="-3"/>
          <w:sz w:val="18"/>
          <w:szCs w:val="18"/>
        </w:rPr>
        <w:t>Balanza de Comprobación Detallada.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89"/>
        </w:tabs>
        <w:ind w:left="714" w:hanging="357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Información de Financiamien</w:t>
      </w:r>
      <w:r w:rsidR="00FD70D6">
        <w:rPr>
          <w:rFonts w:ascii="Arial" w:hAnsi="Arial" w:cs="Arial"/>
          <w:sz w:val="18"/>
          <w:szCs w:val="18"/>
        </w:rPr>
        <w:t>tos</w:t>
      </w:r>
    </w:p>
    <w:p w:rsidR="00040E1B" w:rsidRPr="00FD70D6" w:rsidRDefault="00040E1B" w:rsidP="00F92003">
      <w:pPr>
        <w:numPr>
          <w:ilvl w:val="0"/>
          <w:numId w:val="2"/>
        </w:numPr>
        <w:tabs>
          <w:tab w:val="left" w:pos="989"/>
        </w:tabs>
        <w:ind w:left="714" w:hanging="357"/>
        <w:jc w:val="both"/>
        <w:rPr>
          <w:rFonts w:ascii="Arial" w:hAnsi="Arial" w:cs="Arial"/>
          <w:b/>
          <w:sz w:val="18"/>
          <w:szCs w:val="18"/>
        </w:rPr>
      </w:pPr>
      <w:r w:rsidRPr="00FD70D6">
        <w:rPr>
          <w:rFonts w:ascii="Arial" w:hAnsi="Arial" w:cs="Arial"/>
          <w:sz w:val="18"/>
          <w:szCs w:val="18"/>
        </w:rPr>
        <w:t>Servicios Personales (Remuneraciones al Personal Administrativo 2018 y 2019)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89"/>
        </w:tabs>
        <w:ind w:left="714" w:hanging="357"/>
        <w:jc w:val="both"/>
        <w:rPr>
          <w:rFonts w:ascii="Arial" w:hAnsi="Arial" w:cs="Arial"/>
          <w:b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Aportaciones de Mejoras por Servicios Ambientales (FIPASAHEM).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89"/>
        </w:tabs>
        <w:ind w:left="714" w:hanging="357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Informe Anual de Obras Terminadas.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75"/>
        </w:tabs>
        <w:ind w:left="714" w:hanging="357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Informe Anual de Construcciones en Proceso.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75"/>
        </w:tabs>
        <w:ind w:left="714" w:hanging="357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Informe de Depuración de Construcciones en Proceso de 2018 y Ejercicios Anteriores.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75"/>
        </w:tabs>
        <w:ind w:left="714" w:hanging="357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Origen y Aplicación de Recursos Federales y Estatales.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75"/>
        </w:tabs>
        <w:ind w:left="714" w:hanging="357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Relación de Cuentas Bancarias Productivas.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75"/>
        </w:tabs>
        <w:ind w:left="714" w:hanging="357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Retenciones de los Recursos FORTAMUNDF.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89"/>
        </w:tabs>
        <w:ind w:left="714" w:hanging="357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Conciliación entre los Ingresos Presupuestarios y Contables.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89"/>
        </w:tabs>
        <w:ind w:left="714" w:hanging="357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Conciliación entre los Egresos Presupuestarios y los Gastos Contables.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89"/>
        </w:tabs>
        <w:ind w:left="714" w:hanging="357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Inventario de Bienes Inmuebles.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89"/>
        </w:tabs>
        <w:ind w:left="714" w:hanging="357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Inventario de Bienes Muebles.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89"/>
        </w:tabs>
        <w:ind w:left="714" w:hanging="357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Inventario de Bienes Muebles de Bajo Costo.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89"/>
        </w:tabs>
        <w:ind w:left="714" w:hanging="357"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Hoja de Trabajo para la Conciliación Físico Contable de los Bienes Muebles.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89"/>
        </w:tabs>
        <w:ind w:left="714" w:hanging="357"/>
        <w:jc w:val="both"/>
        <w:rPr>
          <w:rFonts w:ascii="Arial" w:hAnsi="Arial" w:cs="Arial"/>
          <w:b/>
          <w:bCs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Conciliación Físico Contable del Inventario de Bienes Muebles.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89"/>
        </w:tabs>
        <w:ind w:left="714" w:hanging="357"/>
        <w:jc w:val="both"/>
        <w:rPr>
          <w:rFonts w:ascii="Arial" w:hAnsi="Arial" w:cs="Arial"/>
          <w:b/>
          <w:bCs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Reporte de Altas y Bajas de Bienes Muebles.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89"/>
        </w:tabs>
        <w:ind w:left="714" w:hanging="357"/>
        <w:jc w:val="both"/>
        <w:rPr>
          <w:rFonts w:ascii="Arial" w:hAnsi="Arial" w:cs="Arial"/>
          <w:b/>
          <w:bCs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Reporte de Altas y Bajas de Bienes Inmuebles.</w:t>
      </w:r>
    </w:p>
    <w:p w:rsidR="00040E1B" w:rsidRPr="001A774D" w:rsidRDefault="00F92003" w:rsidP="00040E1B">
      <w:pPr>
        <w:numPr>
          <w:ilvl w:val="0"/>
          <w:numId w:val="2"/>
        </w:numPr>
        <w:tabs>
          <w:tab w:val="left" w:pos="989"/>
        </w:tabs>
        <w:ind w:left="714" w:hanging="357"/>
        <w:jc w:val="both"/>
        <w:rPr>
          <w:rFonts w:ascii="Arial" w:hAnsi="Arial" w:cs="Arial"/>
          <w:b/>
          <w:bCs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 xml:space="preserve">Depreciación. </w:t>
      </w:r>
    </w:p>
    <w:p w:rsidR="00040E1B" w:rsidRPr="001A774D" w:rsidRDefault="00040E1B" w:rsidP="00040E1B">
      <w:pPr>
        <w:numPr>
          <w:ilvl w:val="0"/>
          <w:numId w:val="2"/>
        </w:numPr>
        <w:tabs>
          <w:tab w:val="left" w:pos="989"/>
        </w:tabs>
        <w:ind w:left="714" w:hanging="357"/>
        <w:jc w:val="both"/>
        <w:rPr>
          <w:rFonts w:ascii="Arial" w:hAnsi="Arial" w:cs="Arial"/>
          <w:b/>
          <w:bCs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Retenciones del Impuesto sobre la Renta por Salarios, Honorarios y Arrendamiento 2018 y 2019</w:t>
      </w:r>
    </w:p>
    <w:p w:rsidR="00040E1B" w:rsidRPr="001A774D" w:rsidRDefault="00040E1B" w:rsidP="00040E1B">
      <w:pPr>
        <w:numPr>
          <w:ilvl w:val="0"/>
          <w:numId w:val="2"/>
        </w:numPr>
        <w:tabs>
          <w:tab w:val="left" w:pos="989"/>
        </w:tabs>
        <w:ind w:left="714" w:hanging="357"/>
        <w:jc w:val="both"/>
        <w:rPr>
          <w:rFonts w:ascii="Arial" w:hAnsi="Arial" w:cs="Arial"/>
          <w:b/>
          <w:bCs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Reporte de plazas ocupadas por Remuneraciones al Trabajo Personal</w:t>
      </w:r>
    </w:p>
    <w:p w:rsidR="00040E1B" w:rsidRPr="001A774D" w:rsidRDefault="00040E1B" w:rsidP="00040E1B">
      <w:pPr>
        <w:numPr>
          <w:ilvl w:val="0"/>
          <w:numId w:val="2"/>
        </w:numPr>
        <w:tabs>
          <w:tab w:val="left" w:pos="989"/>
        </w:tabs>
        <w:ind w:left="714" w:hanging="357"/>
        <w:jc w:val="both"/>
        <w:rPr>
          <w:rFonts w:ascii="Arial" w:hAnsi="Arial" w:cs="Arial"/>
          <w:b/>
          <w:bCs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Fondo Estatal de Fortalecimiento Municipal (FEFOM)</w:t>
      </w:r>
      <w:r w:rsidR="00F04AED" w:rsidRPr="001A774D">
        <w:rPr>
          <w:rFonts w:ascii="Arial" w:hAnsi="Arial" w:cs="Arial"/>
          <w:sz w:val="18"/>
          <w:szCs w:val="18"/>
        </w:rPr>
        <w:t>.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75"/>
        </w:tabs>
        <w:ind w:left="714" w:hanging="357"/>
        <w:jc w:val="both"/>
        <w:rPr>
          <w:rFonts w:ascii="Arial" w:hAnsi="Arial" w:cs="Arial"/>
          <w:b/>
          <w:bCs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Actas del Órgano de Gobierno con la justificación y autorización de la afectación a la cuenta de resultado de ejercicios anteriores durante el ejercicio 2019.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75"/>
        </w:tabs>
        <w:ind w:left="714" w:hanging="357"/>
        <w:jc w:val="both"/>
        <w:rPr>
          <w:rFonts w:ascii="Arial" w:hAnsi="Arial" w:cs="Arial"/>
          <w:b/>
          <w:bCs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Actas digitalizadas de Cabildo de la autorización de las ampliaciones o reducciones realizadas al presupuesto durante el ejercicio 2019.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75"/>
        </w:tabs>
        <w:ind w:left="714" w:hanging="357"/>
        <w:jc w:val="both"/>
        <w:rPr>
          <w:rFonts w:ascii="Arial" w:hAnsi="Arial" w:cs="Arial"/>
          <w:b/>
          <w:bCs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lastRenderedPageBreak/>
        <w:t>Acta del Comité donde presentan los resultados del levantamiento físico de bienes muebles e inmuebles a diciembre 2019.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75"/>
        </w:tabs>
        <w:ind w:left="714" w:hanging="357"/>
        <w:jc w:val="both"/>
        <w:rPr>
          <w:rFonts w:ascii="Arial" w:hAnsi="Arial" w:cs="Arial"/>
          <w:b/>
          <w:bCs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Constancias de incobrabilidad y/o cancelación de cuentas por pagar y los importes afectados.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75"/>
        </w:tabs>
        <w:ind w:left="714" w:hanging="357"/>
        <w:jc w:val="both"/>
        <w:rPr>
          <w:rFonts w:ascii="Arial" w:hAnsi="Arial" w:cs="Arial"/>
          <w:b/>
          <w:bCs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Expediente de las Aportaciones de Mejoras por Servicios Ambientales al Fideicomiso para el Pago por Servicios Ambientales Hidrológicos del Estado de México (FIPASAHEM) que incluya cédulas de cálculo y los comprobantes de pagos realizados.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75"/>
        </w:tabs>
        <w:ind w:left="714" w:hanging="357"/>
        <w:jc w:val="both"/>
        <w:rPr>
          <w:rFonts w:ascii="Arial" w:hAnsi="Arial" w:cs="Arial"/>
          <w:b/>
          <w:bCs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 xml:space="preserve">Oficios de autorización de los recursos adicionales a los que inicialmente les fueron asignados en el Presupuesto de Egresos de la Federación y el Presupuesto de Egresos del Gobierno del Estado de México y/o Decreto o Gaceta de Gobierno de asignación. </w:t>
      </w:r>
    </w:p>
    <w:p w:rsidR="00040E1B" w:rsidRPr="001A774D" w:rsidRDefault="00F92003" w:rsidP="00040E1B">
      <w:pPr>
        <w:numPr>
          <w:ilvl w:val="0"/>
          <w:numId w:val="2"/>
        </w:numPr>
        <w:tabs>
          <w:tab w:val="left" w:pos="975"/>
        </w:tabs>
        <w:ind w:left="714" w:hanging="357"/>
        <w:jc w:val="both"/>
        <w:rPr>
          <w:rFonts w:ascii="Arial" w:hAnsi="Arial" w:cs="Arial"/>
          <w:b/>
          <w:bCs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Registro contable y soporte documental referente a los reintegros de recursos de los programas federales del ejercicio 2019 y anteriores que no hayan sido devengados conforme a los calendarios respectivos, así como de los rendimientos financieros.</w:t>
      </w:r>
    </w:p>
    <w:p w:rsidR="00040E1B" w:rsidRPr="001A774D" w:rsidRDefault="00F92003" w:rsidP="00040E1B">
      <w:pPr>
        <w:numPr>
          <w:ilvl w:val="0"/>
          <w:numId w:val="2"/>
        </w:numPr>
        <w:tabs>
          <w:tab w:val="left" w:pos="975"/>
        </w:tabs>
        <w:ind w:left="714" w:hanging="357"/>
        <w:jc w:val="both"/>
        <w:rPr>
          <w:rFonts w:ascii="Arial" w:hAnsi="Arial" w:cs="Arial"/>
          <w:b/>
          <w:bCs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Expediente del Financiamiento o financiamientos y obligaciones contratados en el ejercicio o ejercicios anteriores a corto y largo plazo que incluya: Acta de Cabildo de la Justificación y Aprobación para solicitar el financiamiento, cálculo del menor costo financiero, contrato de crédito, (Institución Financiera, monto del crédito, tasa de interés, tabla de amortización, destino del crédito y anexos), inscripción en el Registro de Deuda Pública y en el Registro Público Único, modificación o cancelación de los mismos según corresponda.</w:t>
      </w:r>
    </w:p>
    <w:p w:rsidR="00040E1B" w:rsidRPr="001A774D" w:rsidRDefault="00040E1B" w:rsidP="00040E1B">
      <w:pPr>
        <w:numPr>
          <w:ilvl w:val="0"/>
          <w:numId w:val="2"/>
        </w:numPr>
        <w:tabs>
          <w:tab w:val="left" w:pos="975"/>
        </w:tabs>
        <w:ind w:left="714" w:hanging="357"/>
        <w:jc w:val="both"/>
        <w:rPr>
          <w:rFonts w:ascii="Arial" w:hAnsi="Arial" w:cs="Arial"/>
          <w:b/>
          <w:bCs/>
          <w:sz w:val="18"/>
          <w:szCs w:val="18"/>
        </w:rPr>
      </w:pPr>
      <w:r w:rsidRPr="001A774D">
        <w:rPr>
          <w:rFonts w:ascii="Arial" w:hAnsi="Arial" w:cs="Arial"/>
          <w:bCs/>
          <w:sz w:val="18"/>
          <w:szCs w:val="18"/>
        </w:rPr>
        <w:t>Expediente de los pagos por Retenciones del Impuesto sobre la Renta por Salarios, Honorarios y Arrendamiento realizados  al Servicio de Administración Tributaria (SAT) durante los ejercicios 2018 y 2019 (declaración del impuesto, póliza contable y transferencia electrónica o comprobante de pago).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75"/>
        </w:tabs>
        <w:ind w:left="714" w:hanging="357"/>
        <w:jc w:val="both"/>
        <w:rPr>
          <w:rFonts w:ascii="Arial" w:hAnsi="Arial" w:cs="Arial"/>
          <w:bCs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Carta de Afirmaciones.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75"/>
        </w:tabs>
        <w:ind w:left="714" w:hanging="357"/>
        <w:jc w:val="both"/>
        <w:rPr>
          <w:rFonts w:ascii="Arial" w:hAnsi="Arial" w:cs="Arial"/>
          <w:b/>
          <w:bCs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Página web de la entidad incluye: Liga de acceso a la página de internet del Municipio; así como a los enlaces electrónicos que permiten acceder a la información financiera de todos los entes públicos que conforman el correspondiente orden de gobierno, donde se publica la información del Título Quinto de la Ley General de Contabilidad Gubernamental y de la Ley de Disciplina Financiera de las Entidades Federativas y los Municipios.</w:t>
      </w:r>
    </w:p>
    <w:p w:rsidR="00F92003" w:rsidRPr="001A774D" w:rsidRDefault="00F92003" w:rsidP="00F92003">
      <w:pPr>
        <w:numPr>
          <w:ilvl w:val="0"/>
          <w:numId w:val="2"/>
        </w:numPr>
        <w:tabs>
          <w:tab w:val="left" w:pos="975"/>
        </w:tabs>
        <w:ind w:left="714" w:hanging="357"/>
        <w:jc w:val="both"/>
        <w:rPr>
          <w:rFonts w:ascii="Arial" w:hAnsi="Arial" w:cs="Arial"/>
          <w:b/>
          <w:bCs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Datos actualizados de los números de teléfono de la Entidad y correo electrónico Institucional y del responsable de la Cuenta Pública Municipal.</w:t>
      </w:r>
    </w:p>
    <w:p w:rsidR="00F92003" w:rsidRPr="001A774D" w:rsidRDefault="00F92003" w:rsidP="00F92003">
      <w:pPr>
        <w:jc w:val="both"/>
        <w:rPr>
          <w:rFonts w:ascii="Arial" w:hAnsi="Arial" w:cs="Arial"/>
          <w:b/>
          <w:sz w:val="18"/>
          <w:szCs w:val="18"/>
        </w:rPr>
      </w:pPr>
      <w:r w:rsidRPr="001A774D">
        <w:rPr>
          <w:rFonts w:ascii="Arial" w:hAnsi="Arial" w:cs="Arial"/>
          <w:b/>
          <w:sz w:val="18"/>
          <w:szCs w:val="18"/>
        </w:rPr>
        <w:t>NOTAS:</w:t>
      </w:r>
    </w:p>
    <w:p w:rsidR="00F92003" w:rsidRPr="001A774D" w:rsidRDefault="00F92003" w:rsidP="00F92003">
      <w:pPr>
        <w:numPr>
          <w:ilvl w:val="0"/>
          <w:numId w:val="1"/>
        </w:numPr>
        <w:ind w:left="1423" w:hanging="357"/>
        <w:contextualSpacing/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 xml:space="preserve">Los documentos impresos que se deberán presentar en </w:t>
      </w:r>
      <w:r w:rsidRPr="001A774D">
        <w:rPr>
          <w:rFonts w:ascii="Arial" w:hAnsi="Arial" w:cs="Arial"/>
          <w:b/>
          <w:sz w:val="18"/>
          <w:szCs w:val="18"/>
        </w:rPr>
        <w:t>original son</w:t>
      </w:r>
      <w:r w:rsidRPr="001A774D">
        <w:rPr>
          <w:rFonts w:ascii="Arial" w:hAnsi="Arial" w:cs="Arial"/>
          <w:sz w:val="18"/>
          <w:szCs w:val="18"/>
        </w:rPr>
        <w:t>: Estado de Situación Financiera Comparativo; Estado de Actividades Comparativo; Estado Analítico de Ingresos, Estado Analítico del Ejercicio del Presupuesto de Egresos clasificación por Objeto del Gasto (Capítulo y Concepto) y Carta de Afirmaciones.</w:t>
      </w:r>
    </w:p>
    <w:p w:rsidR="00F92003" w:rsidRPr="001A774D" w:rsidRDefault="00F92003" w:rsidP="00F92003">
      <w:pPr>
        <w:ind w:left="1423"/>
        <w:contextualSpacing/>
        <w:jc w:val="both"/>
        <w:rPr>
          <w:rFonts w:ascii="Arial" w:hAnsi="Arial" w:cs="Arial"/>
          <w:sz w:val="18"/>
          <w:szCs w:val="18"/>
        </w:rPr>
      </w:pPr>
    </w:p>
    <w:p w:rsidR="00F92003" w:rsidRPr="001A774D" w:rsidRDefault="00F92003" w:rsidP="00F92003">
      <w:pPr>
        <w:jc w:val="both"/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8"/>
          <w:szCs w:val="18"/>
        </w:rPr>
        <w:t>En el mismo tenor, se señala que la información contenida en medios ópticos que acompañan a la misma, es copia fiel de la original que obra en los archivos de esta Entidad Municipal, haciendo referencia que la documentación comprobatoria y justificativa generada se pone a disposición del Órgano Superior de Fiscalización del Estado de México, para la revisión correspondiente.</w:t>
      </w:r>
    </w:p>
    <w:p w:rsidR="0045532A" w:rsidRPr="001A774D" w:rsidRDefault="0045532A" w:rsidP="00F92003">
      <w:pPr>
        <w:jc w:val="center"/>
        <w:rPr>
          <w:rFonts w:ascii="Arial" w:hAnsi="Arial" w:cs="Arial"/>
          <w:b/>
          <w:sz w:val="18"/>
          <w:szCs w:val="18"/>
        </w:rPr>
      </w:pPr>
    </w:p>
    <w:p w:rsidR="00F92003" w:rsidRPr="001A774D" w:rsidRDefault="00F92003" w:rsidP="00F92003">
      <w:pPr>
        <w:jc w:val="center"/>
        <w:rPr>
          <w:rFonts w:ascii="Arial" w:hAnsi="Arial" w:cs="Arial"/>
          <w:b/>
          <w:sz w:val="18"/>
          <w:szCs w:val="18"/>
        </w:rPr>
      </w:pPr>
      <w:r w:rsidRPr="001A774D">
        <w:rPr>
          <w:rFonts w:ascii="Arial" w:hAnsi="Arial" w:cs="Arial"/>
          <w:b/>
          <w:sz w:val="18"/>
          <w:szCs w:val="18"/>
        </w:rPr>
        <w:t>Atentamente,</w:t>
      </w:r>
    </w:p>
    <w:p w:rsidR="00F92003" w:rsidRPr="001A774D" w:rsidRDefault="00F92003" w:rsidP="00F92003">
      <w:pPr>
        <w:jc w:val="center"/>
        <w:rPr>
          <w:rFonts w:ascii="Arial" w:hAnsi="Arial" w:cs="Arial"/>
          <w:b/>
          <w:sz w:val="18"/>
          <w:szCs w:val="18"/>
        </w:rPr>
      </w:pPr>
    </w:p>
    <w:p w:rsidR="00F92003" w:rsidRPr="001A774D" w:rsidRDefault="00F92003" w:rsidP="00F92003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laconc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3"/>
        <w:gridCol w:w="4774"/>
      </w:tblGrid>
      <w:tr w:rsidR="001A774D" w:rsidRPr="001A774D" w:rsidTr="00F92003">
        <w:tc>
          <w:tcPr>
            <w:tcW w:w="4773" w:type="dxa"/>
            <w:hideMark/>
          </w:tcPr>
          <w:p w:rsidR="00CB1229" w:rsidRPr="001A774D" w:rsidRDefault="00CB1229" w:rsidP="00CB12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92003" w:rsidRPr="001A774D" w:rsidRDefault="00F92003" w:rsidP="00CB12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774D">
              <w:rPr>
                <w:rFonts w:ascii="Arial" w:hAnsi="Arial" w:cs="Arial"/>
                <w:b/>
                <w:sz w:val="18"/>
                <w:szCs w:val="18"/>
              </w:rPr>
              <w:t xml:space="preserve">C. </w:t>
            </w:r>
            <w:r w:rsidR="006972AC">
              <w:rPr>
                <w:rFonts w:ascii="Arial" w:hAnsi="Arial" w:cs="Arial"/>
                <w:b/>
                <w:sz w:val="18"/>
                <w:szCs w:val="18"/>
              </w:rPr>
              <w:t xml:space="preserve">Roberto </w:t>
            </w:r>
            <w:r w:rsidR="00A547F7">
              <w:rPr>
                <w:rFonts w:ascii="Arial" w:hAnsi="Arial" w:cs="Arial"/>
                <w:b/>
                <w:sz w:val="18"/>
                <w:szCs w:val="18"/>
              </w:rPr>
              <w:t>Ávila</w:t>
            </w:r>
            <w:bookmarkStart w:id="0" w:name="_GoBack"/>
            <w:bookmarkEnd w:id="0"/>
            <w:r w:rsidR="006972AC">
              <w:rPr>
                <w:rFonts w:ascii="Arial" w:hAnsi="Arial" w:cs="Arial"/>
                <w:b/>
                <w:sz w:val="18"/>
                <w:szCs w:val="18"/>
              </w:rPr>
              <w:t xml:space="preserve"> Ventura</w:t>
            </w:r>
          </w:p>
          <w:p w:rsidR="00F92003" w:rsidRPr="001A774D" w:rsidRDefault="00F92003" w:rsidP="00CB12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774D">
              <w:rPr>
                <w:rFonts w:ascii="Arial" w:hAnsi="Arial" w:cs="Arial"/>
                <w:b/>
                <w:sz w:val="18"/>
                <w:szCs w:val="18"/>
              </w:rPr>
              <w:t>Presidente Municipal Constitucional</w:t>
            </w:r>
          </w:p>
          <w:p w:rsidR="00F92003" w:rsidRPr="001A774D" w:rsidRDefault="006972AC" w:rsidP="006972AC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 Tenango del Aire</w:t>
            </w:r>
            <w:r w:rsidR="00F92003" w:rsidRPr="001A774D">
              <w:rPr>
                <w:rFonts w:ascii="Arial" w:hAnsi="Arial" w:cs="Arial"/>
                <w:b/>
                <w:sz w:val="18"/>
                <w:szCs w:val="18"/>
              </w:rPr>
              <w:t>, México.</w:t>
            </w:r>
          </w:p>
        </w:tc>
        <w:tc>
          <w:tcPr>
            <w:tcW w:w="4774" w:type="dxa"/>
            <w:hideMark/>
          </w:tcPr>
          <w:p w:rsidR="00CB1229" w:rsidRPr="001A774D" w:rsidRDefault="00CB1229" w:rsidP="00CB12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92003" w:rsidRPr="001A774D" w:rsidRDefault="00F92003" w:rsidP="00CB12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774D">
              <w:rPr>
                <w:rFonts w:ascii="Arial" w:hAnsi="Arial" w:cs="Arial"/>
                <w:b/>
                <w:sz w:val="18"/>
                <w:szCs w:val="18"/>
              </w:rPr>
              <w:t xml:space="preserve">C. </w:t>
            </w:r>
            <w:r w:rsidR="006972AC">
              <w:rPr>
                <w:rFonts w:ascii="Arial" w:hAnsi="Arial" w:cs="Arial"/>
                <w:b/>
                <w:sz w:val="18"/>
                <w:szCs w:val="18"/>
              </w:rPr>
              <w:t>María de Jesús Cortes Pineda</w:t>
            </w:r>
          </w:p>
          <w:p w:rsidR="00156F6B" w:rsidRDefault="00F92003" w:rsidP="00156F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774D">
              <w:rPr>
                <w:rFonts w:ascii="Arial" w:hAnsi="Arial" w:cs="Arial"/>
                <w:b/>
                <w:sz w:val="18"/>
                <w:szCs w:val="18"/>
              </w:rPr>
              <w:t xml:space="preserve">Síndico Municipal </w:t>
            </w:r>
            <w:r w:rsidR="006972AC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</w:p>
          <w:p w:rsidR="00F92003" w:rsidRPr="001A774D" w:rsidRDefault="006972AC" w:rsidP="00156F6B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Tenango del Aire</w:t>
            </w:r>
            <w:r w:rsidR="00F92003" w:rsidRPr="001A774D">
              <w:rPr>
                <w:rFonts w:ascii="Arial" w:hAnsi="Arial" w:cs="Arial"/>
                <w:b/>
                <w:sz w:val="18"/>
                <w:szCs w:val="18"/>
              </w:rPr>
              <w:t>, México</w:t>
            </w:r>
          </w:p>
        </w:tc>
      </w:tr>
      <w:tr w:rsidR="00F92003" w:rsidRPr="001A774D" w:rsidTr="00F92003">
        <w:trPr>
          <w:trHeight w:val="3912"/>
        </w:trPr>
        <w:tc>
          <w:tcPr>
            <w:tcW w:w="4773" w:type="dxa"/>
          </w:tcPr>
          <w:p w:rsidR="00CB1229" w:rsidRPr="001A774D" w:rsidRDefault="00CB12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B1229" w:rsidRPr="001A774D" w:rsidRDefault="00CB122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92003" w:rsidRPr="001A774D" w:rsidRDefault="00F920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74D">
              <w:rPr>
                <w:rFonts w:ascii="Arial" w:hAnsi="Arial" w:cs="Arial"/>
                <w:sz w:val="18"/>
                <w:szCs w:val="18"/>
              </w:rPr>
              <w:t xml:space="preserve">Con fundamento en el artículo 95, fracción XVIII de la Ley Orgánica Municipal del Estado de México, </w:t>
            </w:r>
            <w:r w:rsidRPr="001A774D">
              <w:rPr>
                <w:rFonts w:ascii="Arial" w:hAnsi="Arial" w:cs="Arial"/>
                <w:b/>
                <w:sz w:val="18"/>
                <w:szCs w:val="18"/>
              </w:rPr>
              <w:t>CERTIFICO</w:t>
            </w:r>
            <w:r w:rsidRPr="001A774D">
              <w:rPr>
                <w:rFonts w:ascii="Arial" w:hAnsi="Arial" w:cs="Arial"/>
                <w:sz w:val="18"/>
                <w:szCs w:val="18"/>
              </w:rPr>
              <w:t>, que la información que se adjunta en medio impreso y magnético, coincide en todas y cada una de sus partes con los originales que obran en los archivos de este Municipio, para los efectos conducentes.</w:t>
            </w:r>
          </w:p>
          <w:p w:rsidR="00F92003" w:rsidRPr="001A774D" w:rsidRDefault="00F920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92003" w:rsidRPr="001A774D" w:rsidRDefault="00F92003" w:rsidP="00CB12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774D">
              <w:rPr>
                <w:rFonts w:ascii="Arial" w:hAnsi="Arial" w:cs="Arial"/>
                <w:b/>
                <w:sz w:val="18"/>
                <w:szCs w:val="18"/>
              </w:rPr>
              <w:t xml:space="preserve">C. </w:t>
            </w:r>
            <w:r w:rsidR="006972AC">
              <w:rPr>
                <w:rFonts w:ascii="Arial" w:hAnsi="Arial" w:cs="Arial"/>
                <w:b/>
                <w:sz w:val="18"/>
                <w:szCs w:val="18"/>
              </w:rPr>
              <w:t>Angélica García Najera</w:t>
            </w:r>
          </w:p>
          <w:p w:rsidR="00156F6B" w:rsidRDefault="00F92003" w:rsidP="00156F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774D">
              <w:rPr>
                <w:rFonts w:ascii="Arial" w:hAnsi="Arial" w:cs="Arial"/>
                <w:b/>
                <w:sz w:val="18"/>
                <w:szCs w:val="18"/>
              </w:rPr>
              <w:t xml:space="preserve">Tesorero Municipal </w:t>
            </w:r>
          </w:p>
          <w:p w:rsidR="00F92003" w:rsidRPr="001A774D" w:rsidRDefault="006972AC" w:rsidP="00156F6B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 Tenango del Aire</w:t>
            </w:r>
            <w:r w:rsidR="00F92003" w:rsidRPr="001A774D">
              <w:rPr>
                <w:rFonts w:ascii="Arial" w:hAnsi="Arial" w:cs="Arial"/>
                <w:b/>
                <w:sz w:val="18"/>
                <w:szCs w:val="18"/>
              </w:rPr>
              <w:t>, México.</w:t>
            </w:r>
          </w:p>
        </w:tc>
        <w:tc>
          <w:tcPr>
            <w:tcW w:w="4774" w:type="dxa"/>
          </w:tcPr>
          <w:p w:rsidR="00F92003" w:rsidRPr="001A774D" w:rsidRDefault="00F920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92003" w:rsidRPr="001A774D" w:rsidRDefault="00F920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92003" w:rsidRPr="001A774D" w:rsidRDefault="00F920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774D">
              <w:rPr>
                <w:rFonts w:ascii="Arial" w:hAnsi="Arial" w:cs="Arial"/>
                <w:sz w:val="18"/>
                <w:szCs w:val="18"/>
              </w:rPr>
              <w:t xml:space="preserve">Con fundamento en el artículo 91, fracción X de la Ley Orgánica Municipal del Estado de México, </w:t>
            </w:r>
            <w:r w:rsidRPr="001A774D">
              <w:rPr>
                <w:rFonts w:ascii="Arial" w:hAnsi="Arial" w:cs="Arial"/>
                <w:b/>
                <w:sz w:val="18"/>
                <w:szCs w:val="18"/>
              </w:rPr>
              <w:t>CERTIFICO</w:t>
            </w:r>
            <w:r w:rsidRPr="001A774D">
              <w:rPr>
                <w:rFonts w:ascii="Arial" w:hAnsi="Arial" w:cs="Arial"/>
                <w:sz w:val="18"/>
                <w:szCs w:val="18"/>
              </w:rPr>
              <w:t>, que la información que se adjunta en medio impreso y magnético, coincide en todas y cada una de sus partes con los originales que obran en los archivos de este Municipio, para los efectos conducentes.</w:t>
            </w:r>
          </w:p>
          <w:p w:rsidR="00F92003" w:rsidRPr="001A774D" w:rsidRDefault="00F920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B1229" w:rsidRPr="001A774D" w:rsidRDefault="00CB1229" w:rsidP="00CB12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92003" w:rsidRPr="001A774D" w:rsidRDefault="00F92003" w:rsidP="00CB12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774D">
              <w:rPr>
                <w:rFonts w:ascii="Arial" w:hAnsi="Arial" w:cs="Arial"/>
                <w:b/>
                <w:sz w:val="18"/>
                <w:szCs w:val="18"/>
              </w:rPr>
              <w:t xml:space="preserve">C. </w:t>
            </w:r>
            <w:r w:rsidR="006972AC">
              <w:rPr>
                <w:rFonts w:ascii="Arial" w:hAnsi="Arial" w:cs="Arial"/>
                <w:b/>
                <w:sz w:val="18"/>
                <w:szCs w:val="18"/>
              </w:rPr>
              <w:t>Gustavo Ezau García González</w:t>
            </w:r>
          </w:p>
          <w:p w:rsidR="00F92003" w:rsidRPr="001A774D" w:rsidRDefault="00F92003" w:rsidP="00CB12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774D">
              <w:rPr>
                <w:rFonts w:ascii="Arial" w:hAnsi="Arial" w:cs="Arial"/>
                <w:b/>
                <w:sz w:val="18"/>
                <w:szCs w:val="18"/>
              </w:rPr>
              <w:t>Secretario del Ayuntamiento de</w:t>
            </w:r>
            <w:r w:rsidR="006972AC">
              <w:rPr>
                <w:rFonts w:ascii="Arial" w:hAnsi="Arial" w:cs="Arial"/>
                <w:b/>
                <w:sz w:val="18"/>
                <w:szCs w:val="18"/>
              </w:rPr>
              <w:t>l Municipio de Tenango del Aire</w:t>
            </w:r>
            <w:r w:rsidRPr="001A774D">
              <w:rPr>
                <w:rFonts w:ascii="Arial" w:hAnsi="Arial" w:cs="Arial"/>
                <w:b/>
                <w:sz w:val="18"/>
                <w:szCs w:val="18"/>
              </w:rPr>
              <w:t>, México.</w:t>
            </w:r>
          </w:p>
          <w:p w:rsidR="00F92003" w:rsidRPr="001A774D" w:rsidRDefault="00F9200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92003" w:rsidRPr="001A774D" w:rsidRDefault="00F92003">
            <w:pPr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</w:tbl>
    <w:p w:rsidR="00F92003" w:rsidRPr="001A774D" w:rsidRDefault="00F92003" w:rsidP="00F92003">
      <w:pPr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F92003" w:rsidRPr="001A774D" w:rsidRDefault="00F92003" w:rsidP="00F92003">
      <w:pPr>
        <w:jc w:val="center"/>
        <w:rPr>
          <w:rFonts w:ascii="Arial" w:hAnsi="Arial" w:cs="Arial"/>
          <w:b/>
          <w:sz w:val="18"/>
          <w:szCs w:val="18"/>
        </w:rPr>
      </w:pPr>
      <w:r w:rsidRPr="001A774D">
        <w:rPr>
          <w:rFonts w:ascii="Arial" w:hAnsi="Arial" w:cs="Arial"/>
          <w:b/>
          <w:sz w:val="18"/>
          <w:szCs w:val="18"/>
        </w:rPr>
        <w:t>C.</w:t>
      </w:r>
      <w:r w:rsidR="006836A1">
        <w:rPr>
          <w:rFonts w:ascii="Arial" w:hAnsi="Arial" w:cs="Arial"/>
          <w:b/>
          <w:sz w:val="18"/>
          <w:szCs w:val="18"/>
        </w:rPr>
        <w:t xml:space="preserve"> Alma Delia Espinosa Villa</w:t>
      </w:r>
    </w:p>
    <w:p w:rsidR="0045532A" w:rsidRPr="001A774D" w:rsidRDefault="00F92003" w:rsidP="00CB1229">
      <w:pPr>
        <w:tabs>
          <w:tab w:val="left" w:pos="2127"/>
        </w:tabs>
        <w:jc w:val="center"/>
        <w:rPr>
          <w:rFonts w:ascii="Arial" w:hAnsi="Arial" w:cs="Arial"/>
          <w:b/>
        </w:rPr>
      </w:pPr>
      <w:r w:rsidRPr="001A774D">
        <w:rPr>
          <w:rFonts w:ascii="Arial" w:hAnsi="Arial" w:cs="Arial"/>
          <w:b/>
          <w:sz w:val="18"/>
          <w:szCs w:val="18"/>
        </w:rPr>
        <w:t>Director de Obras Públicas o área equivalente</w:t>
      </w:r>
      <w:r w:rsidRPr="001A774D">
        <w:rPr>
          <w:rFonts w:ascii="Arial" w:hAnsi="Arial" w:cs="Arial"/>
          <w:b/>
        </w:rPr>
        <w:t>.</w:t>
      </w:r>
    </w:p>
    <w:p w:rsidR="0045532A" w:rsidRPr="001A774D" w:rsidRDefault="0045532A" w:rsidP="00F92003">
      <w:pPr>
        <w:tabs>
          <w:tab w:val="left" w:pos="2127"/>
        </w:tabs>
        <w:rPr>
          <w:rFonts w:ascii="Arial" w:hAnsi="Arial" w:cs="Arial"/>
          <w:b/>
          <w:sz w:val="6"/>
          <w:szCs w:val="6"/>
        </w:rPr>
      </w:pPr>
    </w:p>
    <w:p w:rsidR="0063234D" w:rsidRPr="001A774D" w:rsidRDefault="00CB75D3" w:rsidP="00CB75D3">
      <w:pPr>
        <w:tabs>
          <w:tab w:val="left" w:pos="2127"/>
        </w:tabs>
        <w:rPr>
          <w:rFonts w:ascii="Arial" w:hAnsi="Arial" w:cs="Arial"/>
          <w:sz w:val="18"/>
          <w:szCs w:val="18"/>
        </w:rPr>
      </w:pPr>
      <w:r w:rsidRPr="001A774D">
        <w:rPr>
          <w:rFonts w:ascii="Arial" w:hAnsi="Arial" w:cs="Arial"/>
          <w:sz w:val="12"/>
          <w:szCs w:val="18"/>
        </w:rPr>
        <w:t>Rubricas</w:t>
      </w:r>
    </w:p>
    <w:sectPr w:rsidR="0063234D" w:rsidRPr="001A774D" w:rsidSect="00CD7520">
      <w:headerReference w:type="default" r:id="rId8"/>
      <w:pgSz w:w="12240" w:h="15840" w:code="1"/>
      <w:pgMar w:top="284" w:right="1134" w:bottom="28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C5C" w:rsidRDefault="00FE4C5C" w:rsidP="00663773">
      <w:r>
        <w:separator/>
      </w:r>
    </w:p>
  </w:endnote>
  <w:endnote w:type="continuationSeparator" w:id="0">
    <w:p w:rsidR="00FE4C5C" w:rsidRDefault="00FE4C5C" w:rsidP="00663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C5C" w:rsidRDefault="00FE4C5C" w:rsidP="00663773">
      <w:r>
        <w:separator/>
      </w:r>
    </w:p>
  </w:footnote>
  <w:footnote w:type="continuationSeparator" w:id="0">
    <w:p w:rsidR="00FE4C5C" w:rsidRDefault="00FE4C5C" w:rsidP="00663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54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4"/>
      <w:gridCol w:w="231"/>
      <w:gridCol w:w="7084"/>
      <w:gridCol w:w="1819"/>
    </w:tblGrid>
    <w:tr w:rsidR="001556D5" w:rsidTr="00CD7520">
      <w:trPr>
        <w:gridAfter w:val="3"/>
        <w:wAfter w:w="9134" w:type="dxa"/>
        <w:jc w:val="center"/>
      </w:trPr>
      <w:tc>
        <w:tcPr>
          <w:tcW w:w="1414" w:type="dxa"/>
        </w:tcPr>
        <w:p w:rsidR="001556D5" w:rsidRDefault="001556D5" w:rsidP="001556D5">
          <w:pPr>
            <w:jc w:val="both"/>
          </w:pPr>
        </w:p>
      </w:tc>
    </w:tr>
    <w:tr w:rsidR="00CD7520" w:rsidTr="006972AC">
      <w:tblPrEx>
        <w:tblCellMar>
          <w:left w:w="70" w:type="dxa"/>
          <w:right w:w="70" w:type="dxa"/>
        </w:tblCellMar>
      </w:tblPrEx>
      <w:trPr>
        <w:trHeight w:val="1985"/>
        <w:jc w:val="center"/>
      </w:trPr>
      <w:tc>
        <w:tcPr>
          <w:tcW w:w="1645" w:type="dxa"/>
          <w:gridSpan w:val="2"/>
          <w:hideMark/>
        </w:tcPr>
        <w:p w:rsidR="00D36E55" w:rsidRPr="001242D0" w:rsidRDefault="00D36E55" w:rsidP="00D36E55">
          <w:pPr>
            <w:spacing w:line="360" w:lineRule="auto"/>
            <w:rPr>
              <w:rFonts w:ascii="Arial" w:hAnsi="Arial" w:cs="Arial"/>
              <w:b/>
              <w:bCs/>
              <w:noProof/>
              <w:sz w:val="18"/>
              <w:szCs w:val="18"/>
            </w:rPr>
          </w:pPr>
          <w:r w:rsidRPr="00897256">
            <w:rPr>
              <w:rFonts w:ascii="Arial" w:hAnsi="Arial" w:cs="Arial"/>
              <w:b/>
              <w:color w:val="7F7F7F" w:themeColor="text1" w:themeTint="80"/>
              <w:sz w:val="18"/>
              <w:szCs w:val="18"/>
            </w:rPr>
            <w:t xml:space="preserve"> </w:t>
          </w:r>
          <w:r w:rsidR="006972AC">
            <w:rPr>
              <w:noProof/>
              <w:lang w:val="es-MX" w:eastAsia="es-MX"/>
            </w:rPr>
            <w:drawing>
              <wp:inline distT="0" distB="0" distL="0" distR="0" wp14:anchorId="37A03F9E" wp14:editId="5CB71A7D">
                <wp:extent cx="885825" cy="904875"/>
                <wp:effectExtent l="0" t="0" r="9525" b="9525"/>
                <wp:docPr id="334849" name="Picture -7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4849" name="Picture -76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  <w:r w:rsidRPr="00897256">
            <w:rPr>
              <w:rFonts w:ascii="Arial" w:hAnsi="Arial" w:cs="Arial"/>
              <w:b/>
              <w:color w:val="7F7F7F" w:themeColor="text1" w:themeTint="80"/>
              <w:sz w:val="18"/>
              <w:szCs w:val="18"/>
            </w:rPr>
            <w:t xml:space="preserve"> </w:t>
          </w:r>
        </w:p>
        <w:p w:rsidR="00CD7520" w:rsidRDefault="00CD7520"/>
      </w:tc>
      <w:tc>
        <w:tcPr>
          <w:tcW w:w="7084" w:type="dxa"/>
          <w:vAlign w:val="center"/>
        </w:tcPr>
        <w:p w:rsidR="00D36E55" w:rsidRDefault="00D36E55">
          <w:pPr>
            <w:jc w:val="center"/>
            <w:rPr>
              <w:rFonts w:ascii="Arial" w:hAnsi="Arial" w:cs="Arial"/>
              <w:b/>
              <w:noProof/>
              <w:sz w:val="14"/>
              <w:szCs w:val="14"/>
              <w:lang w:val="es-MX" w:eastAsia="es-MX"/>
            </w:rPr>
          </w:pPr>
        </w:p>
        <w:p w:rsidR="00D36E55" w:rsidRDefault="00D36E55">
          <w:pPr>
            <w:jc w:val="center"/>
            <w:rPr>
              <w:rFonts w:ascii="Arial" w:hAnsi="Arial" w:cs="Arial"/>
              <w:b/>
              <w:noProof/>
              <w:sz w:val="14"/>
              <w:szCs w:val="14"/>
              <w:lang w:val="es-MX" w:eastAsia="es-MX"/>
            </w:rPr>
          </w:pPr>
        </w:p>
        <w:p w:rsidR="00D36E55" w:rsidRDefault="00D36E55">
          <w:pPr>
            <w:jc w:val="center"/>
            <w:rPr>
              <w:rFonts w:ascii="Arial" w:hAnsi="Arial" w:cs="Arial"/>
              <w:b/>
              <w:noProof/>
              <w:sz w:val="14"/>
              <w:szCs w:val="14"/>
              <w:lang w:val="es-MX" w:eastAsia="es-MX"/>
            </w:rPr>
          </w:pPr>
        </w:p>
        <w:p w:rsidR="00D36E55" w:rsidRDefault="00D36E55">
          <w:pPr>
            <w:jc w:val="center"/>
            <w:rPr>
              <w:rFonts w:ascii="Arial" w:hAnsi="Arial" w:cs="Arial"/>
              <w:b/>
              <w:noProof/>
              <w:sz w:val="14"/>
              <w:szCs w:val="14"/>
              <w:lang w:val="es-MX" w:eastAsia="es-MX"/>
            </w:rPr>
          </w:pPr>
        </w:p>
        <w:p w:rsidR="00D36E55" w:rsidRDefault="00D36E55">
          <w:pPr>
            <w:jc w:val="center"/>
            <w:rPr>
              <w:rFonts w:ascii="Arial" w:hAnsi="Arial" w:cs="Arial"/>
              <w:b/>
              <w:noProof/>
              <w:sz w:val="14"/>
              <w:szCs w:val="14"/>
              <w:lang w:val="es-MX" w:eastAsia="es-MX"/>
            </w:rPr>
          </w:pPr>
        </w:p>
        <w:p w:rsidR="00D36E55" w:rsidRDefault="00D36E55">
          <w:pPr>
            <w:jc w:val="center"/>
            <w:rPr>
              <w:rFonts w:ascii="Arial" w:hAnsi="Arial" w:cs="Arial"/>
              <w:b/>
              <w:noProof/>
              <w:sz w:val="14"/>
              <w:szCs w:val="14"/>
              <w:lang w:val="es-MX" w:eastAsia="es-MX"/>
            </w:rPr>
          </w:pPr>
        </w:p>
        <w:p w:rsidR="00D36E55" w:rsidRDefault="00D36E55">
          <w:pPr>
            <w:jc w:val="center"/>
            <w:rPr>
              <w:rFonts w:ascii="Arial" w:hAnsi="Arial" w:cs="Arial"/>
              <w:b/>
              <w:noProof/>
              <w:sz w:val="14"/>
              <w:szCs w:val="14"/>
              <w:lang w:val="es-MX" w:eastAsia="es-MX"/>
            </w:rPr>
          </w:pPr>
        </w:p>
        <w:p w:rsidR="00D36E55" w:rsidRDefault="00D36E55">
          <w:pPr>
            <w:jc w:val="center"/>
            <w:rPr>
              <w:rFonts w:ascii="Arial" w:hAnsi="Arial" w:cs="Arial"/>
              <w:b/>
              <w:noProof/>
              <w:sz w:val="14"/>
              <w:szCs w:val="14"/>
              <w:lang w:val="es-MX" w:eastAsia="es-MX"/>
            </w:rPr>
          </w:pPr>
        </w:p>
        <w:p w:rsidR="00D36E55" w:rsidRDefault="00D36E55">
          <w:pPr>
            <w:jc w:val="center"/>
            <w:rPr>
              <w:rFonts w:ascii="Arial" w:hAnsi="Arial" w:cs="Arial"/>
              <w:b/>
              <w:noProof/>
              <w:sz w:val="14"/>
              <w:szCs w:val="14"/>
              <w:lang w:val="es-MX" w:eastAsia="es-MX"/>
            </w:rPr>
          </w:pPr>
        </w:p>
        <w:p w:rsidR="00CD7520" w:rsidRDefault="00CD7520" w:rsidP="00D36E55">
          <w:pPr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5C456C59" wp14:editId="6E5A75D6">
                    <wp:simplePos x="0" y="0"/>
                    <wp:positionH relativeFrom="column">
                      <wp:posOffset>2218690</wp:posOffset>
                    </wp:positionH>
                    <wp:positionV relativeFrom="paragraph">
                      <wp:posOffset>151765</wp:posOffset>
                    </wp:positionV>
                    <wp:extent cx="3009900" cy="906145"/>
                    <wp:effectExtent l="0" t="0" r="0" b="8255"/>
                    <wp:wrapNone/>
                    <wp:docPr id="8" name="Cuadro de text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09900" cy="9061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D7520" w:rsidRDefault="00CD7520" w:rsidP="00CD7520">
                                <w:pPr>
                                  <w:ind w:right="63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Toluca, México; </w:t>
                                </w:r>
                                <w:r w:rsidR="006972AC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15 de </w:t>
                                </w:r>
                                <w:proofErr w:type="gramStart"/>
                                <w:r w:rsidR="006972AC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Marzo</w:t>
                                </w:r>
                                <w:proofErr w:type="gramEnd"/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 de </w:t>
                                </w:r>
                                <w:r w:rsidR="006972AC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2020</w:t>
                                </w:r>
                              </w:p>
                              <w:p w:rsidR="00CD7520" w:rsidRDefault="00CD7520" w:rsidP="00CD7520">
                                <w:pPr>
                                  <w:ind w:right="63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Oficio Núm. </w:t>
                                </w:r>
                                <w:r w:rsidR="00564398">
                                  <w:rPr>
                                    <w:rFonts w:ascii="Calibri Light" w:hAnsi="Calibri Light" w:cs="Calibri Light"/>
                                    <w:b/>
                                    <w:sz w:val="16"/>
                                    <w:szCs w:val="16"/>
                                  </w:rPr>
                                  <w:t>MTA/TESRIA. M/2020/234</w:t>
                                </w:r>
                              </w:p>
                              <w:p w:rsidR="00CD7520" w:rsidRDefault="00CD7520" w:rsidP="00CD7520">
                                <w:pPr>
                                  <w:ind w:right="63"/>
                                  <w:jc w:val="both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CD7520" w:rsidRPr="001D0096" w:rsidRDefault="00F92003" w:rsidP="00CD7520">
                                <w:pPr>
                                  <w:rPr>
                                    <w:rFonts w:ascii="Arial" w:hAnsi="Arial"/>
                                    <w:sz w:val="18"/>
                                    <w:szCs w:val="18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Asunto: </w:t>
                                </w:r>
                                <w:r w:rsidR="00D36E55" w:rsidRPr="00D36E55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O</w:t>
                                </w:r>
                                <w:r w:rsidRPr="00D36E55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f</w:t>
                                </w:r>
                                <w:r w:rsidRPr="00F92003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icio de presentación de la Cuenta Pública Municipal 2019</w:t>
                                </w:r>
                              </w:p>
                              <w:p w:rsidR="00CD7520" w:rsidRDefault="00CD7520" w:rsidP="00CD7520">
                                <w:pPr>
                                  <w:ind w:right="63"/>
                                  <w:jc w:val="both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CD7520" w:rsidRDefault="00CD7520" w:rsidP="00CD7520">
                                <w:pPr>
                                  <w:ind w:right="63"/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</w:rPr>
                                </w:pPr>
                              </w:p>
                              <w:p w:rsidR="00CD7520" w:rsidRDefault="00CD7520" w:rsidP="00CD7520">
                                <w:pPr>
                                  <w:ind w:right="63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2"/>
                                    <w:szCs w:val="22"/>
                                    <w:lang w:val="es-MX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C456C59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8" o:spid="_x0000_s1026" type="#_x0000_t202" style="position:absolute;left:0;text-align:left;margin-left:174.7pt;margin-top:11.95pt;width:237pt;height:7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" stroked="f">
                    <v:textbox>
                      <w:txbxContent>
                        <w:p w:rsidR="00CD7520" w:rsidRDefault="00CD7520" w:rsidP="00CD7520">
                          <w:pPr>
                            <w:ind w:right="63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Toluca, México; </w:t>
                          </w:r>
                          <w:r w:rsidR="006972A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15 de </w:t>
                          </w:r>
                          <w:proofErr w:type="gramStart"/>
                          <w:r w:rsidR="006972A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Marzo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de </w:t>
                          </w:r>
                          <w:r w:rsidR="006972A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2020</w:t>
                          </w:r>
                        </w:p>
                        <w:p w:rsidR="00CD7520" w:rsidRDefault="00CD7520" w:rsidP="00CD7520">
                          <w:pPr>
                            <w:ind w:right="63"/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Oficio Núm. </w:t>
                          </w:r>
                          <w:r w:rsidR="00564398">
                            <w:rPr>
                              <w:rFonts w:ascii="Calibri Light" w:hAnsi="Calibri Light" w:cs="Calibri Light"/>
                              <w:b/>
                              <w:sz w:val="16"/>
                              <w:szCs w:val="16"/>
                            </w:rPr>
                            <w:t xml:space="preserve">MTA/TESRIA. </w:t>
                          </w:r>
                          <w:r w:rsidR="00564398">
                            <w:rPr>
                              <w:rFonts w:ascii="Calibri Light" w:hAnsi="Calibri Light" w:cs="Calibri Light"/>
                              <w:b/>
                              <w:sz w:val="16"/>
                              <w:szCs w:val="16"/>
                            </w:rPr>
                            <w:t>M/2020/234</w:t>
                          </w:r>
                        </w:p>
                        <w:p w:rsidR="00CD7520" w:rsidRDefault="00CD7520" w:rsidP="00CD7520">
                          <w:pPr>
                            <w:ind w:right="63"/>
                            <w:jc w:val="both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CD7520" w:rsidRPr="001D0096" w:rsidRDefault="00F92003" w:rsidP="00CD7520">
                          <w:pPr>
                            <w:rPr>
                              <w:rFonts w:ascii="Arial" w:hAnsi="Arial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Asunto: </w:t>
                          </w:r>
                          <w:r w:rsidR="00D36E55" w:rsidRPr="00D36E5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</w:t>
                          </w:r>
                          <w:r w:rsidRPr="00D36E5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f</w:t>
                          </w:r>
                          <w:r w:rsidRPr="00F9200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icio de presentación de la Cuenta Pública Municipal 2019</w:t>
                          </w:r>
                        </w:p>
                        <w:p w:rsidR="00CD7520" w:rsidRDefault="00CD7520" w:rsidP="00CD7520">
                          <w:pPr>
                            <w:ind w:right="63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CD7520" w:rsidRDefault="00CD7520" w:rsidP="00CD7520">
                          <w:pPr>
                            <w:ind w:right="63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</w:p>
                        <w:p w:rsidR="00CD7520" w:rsidRDefault="00CD7520" w:rsidP="00CD7520">
                          <w:pPr>
                            <w:ind w:right="63"/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  <w:lang w:val="es-MX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819" w:type="dxa"/>
          <w:hideMark/>
        </w:tcPr>
        <w:p w:rsidR="00CD7520" w:rsidRDefault="00CD7520">
          <w:pPr>
            <w:jc w:val="right"/>
          </w:pPr>
        </w:p>
      </w:tc>
    </w:tr>
  </w:tbl>
  <w:p w:rsidR="00663773" w:rsidRDefault="00CD7520">
    <w:pPr>
      <w:pStyle w:val="Encabezado"/>
      <w:rPr>
        <w:lang w:val="es-ES_tradnl"/>
      </w:rPr>
    </w:pPr>
    <w:r>
      <w:rPr>
        <w:noProof/>
        <w:sz w:val="24"/>
        <w:szCs w:val="24"/>
        <w:lang w:eastAsia="es-MX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B0079F2" wp14:editId="6C530437">
              <wp:simplePos x="0" y="0"/>
              <wp:positionH relativeFrom="column">
                <wp:posOffset>324071</wp:posOffset>
              </wp:positionH>
              <wp:positionV relativeFrom="paragraph">
                <wp:posOffset>70181</wp:posOffset>
              </wp:positionV>
              <wp:extent cx="1359535" cy="206734"/>
              <wp:effectExtent l="0" t="0" r="0" b="3175"/>
              <wp:wrapNone/>
              <wp:docPr id="307" name="Cuadro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9535" cy="20673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7520" w:rsidRDefault="0045532A" w:rsidP="00CD752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18"/>
                              <w:lang w:val="es-MX"/>
                            </w:rPr>
                            <w:t>OPCP-</w:t>
                          </w:r>
                          <w:r w:rsidR="0015486E"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18"/>
                              <w:lang w:val="es-MX"/>
                            </w:rPr>
                            <w:t>AYU-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70C0"/>
                              <w:sz w:val="16"/>
                              <w:szCs w:val="18"/>
                              <w:lang w:val="es-MX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0079F2" id="Cuadro de texto 307" o:spid="_x0000_s1027" type="#_x0000_t202" style="position:absolute;margin-left:25.5pt;margin-top:5.55pt;width:107.05pt;height:16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" stroked="f">
              <v:textbox>
                <w:txbxContent>
                  <w:p w:rsidR="00CD7520" w:rsidRDefault="0045532A" w:rsidP="00CD7520">
                    <w:pPr>
                      <w:jc w:val="center"/>
                      <w:rPr>
                        <w:rFonts w:ascii="Arial" w:hAnsi="Arial" w:cs="Arial"/>
                        <w:b/>
                        <w:color w:val="0070C0"/>
                        <w:sz w:val="16"/>
                        <w:szCs w:val="18"/>
                        <w:lang w:val="es-MX"/>
                      </w:rPr>
                    </w:pPr>
                    <w:r>
                      <w:rPr>
                        <w:rFonts w:ascii="Arial" w:hAnsi="Arial" w:cs="Arial"/>
                        <w:b/>
                        <w:color w:val="0070C0"/>
                        <w:sz w:val="16"/>
                        <w:szCs w:val="18"/>
                        <w:lang w:val="es-MX"/>
                      </w:rPr>
                      <w:t>OPCP-</w:t>
                    </w:r>
                    <w:r w:rsidR="0015486E">
                      <w:rPr>
                        <w:rFonts w:ascii="Arial" w:hAnsi="Arial" w:cs="Arial"/>
                        <w:b/>
                        <w:color w:val="0070C0"/>
                        <w:sz w:val="16"/>
                        <w:szCs w:val="18"/>
                        <w:lang w:val="es-MX"/>
                      </w:rPr>
                      <w:t>AYU-</w:t>
                    </w:r>
                    <w:r>
                      <w:rPr>
                        <w:rFonts w:ascii="Arial" w:hAnsi="Arial" w:cs="Arial"/>
                        <w:b/>
                        <w:color w:val="0070C0"/>
                        <w:sz w:val="16"/>
                        <w:szCs w:val="18"/>
                        <w:lang w:val="es-MX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</w:p>
  <w:p w:rsidR="00CD7520" w:rsidRDefault="00CD7520">
    <w:pPr>
      <w:pStyle w:val="Encabezado"/>
      <w:rPr>
        <w:lang w:val="es-ES_tradnl"/>
      </w:rPr>
    </w:pPr>
  </w:p>
  <w:p w:rsidR="00CD7520" w:rsidRDefault="00CD7520">
    <w:pPr>
      <w:pStyle w:val="Encabezado"/>
      <w:rPr>
        <w:lang w:val="es-ES_tradnl"/>
      </w:rPr>
    </w:pPr>
  </w:p>
  <w:p w:rsidR="00CD7520" w:rsidRDefault="00CD7520">
    <w:pPr>
      <w:pStyle w:val="Encabezado"/>
      <w:rPr>
        <w:lang w:val="es-ES_tradnl"/>
      </w:rPr>
    </w:pPr>
  </w:p>
  <w:p w:rsidR="00CD7520" w:rsidRPr="001556D5" w:rsidRDefault="00CD7520">
    <w:pPr>
      <w:pStyle w:val="Encabezado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171E3"/>
    <w:multiLevelType w:val="hybridMultilevel"/>
    <w:tmpl w:val="E94001FC"/>
    <w:lvl w:ilvl="0" w:tplc="6C0C9B1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color w:val="auto"/>
      </w:rPr>
    </w:lvl>
    <w:lvl w:ilvl="1" w:tplc="080A0019">
      <w:start w:val="1"/>
      <w:numFmt w:val="lowerLetter"/>
      <w:lvlText w:val="%2."/>
      <w:lvlJc w:val="left"/>
      <w:pPr>
        <w:ind w:left="5040" w:hanging="360"/>
      </w:pPr>
    </w:lvl>
    <w:lvl w:ilvl="2" w:tplc="080A001B">
      <w:start w:val="1"/>
      <w:numFmt w:val="lowerRoman"/>
      <w:lvlText w:val="%3."/>
      <w:lvlJc w:val="right"/>
      <w:pPr>
        <w:ind w:left="5760" w:hanging="180"/>
      </w:pPr>
    </w:lvl>
    <w:lvl w:ilvl="3" w:tplc="080A000F">
      <w:start w:val="1"/>
      <w:numFmt w:val="decimal"/>
      <w:lvlText w:val="%4."/>
      <w:lvlJc w:val="left"/>
      <w:pPr>
        <w:ind w:left="6480" w:hanging="360"/>
      </w:pPr>
    </w:lvl>
    <w:lvl w:ilvl="4" w:tplc="080A0019">
      <w:start w:val="1"/>
      <w:numFmt w:val="lowerLetter"/>
      <w:lvlText w:val="%5."/>
      <w:lvlJc w:val="left"/>
      <w:pPr>
        <w:ind w:left="7200" w:hanging="360"/>
      </w:pPr>
    </w:lvl>
    <w:lvl w:ilvl="5" w:tplc="080A001B">
      <w:start w:val="1"/>
      <w:numFmt w:val="lowerRoman"/>
      <w:lvlText w:val="%6."/>
      <w:lvlJc w:val="right"/>
      <w:pPr>
        <w:ind w:left="7920" w:hanging="180"/>
      </w:pPr>
    </w:lvl>
    <w:lvl w:ilvl="6" w:tplc="080A000F">
      <w:start w:val="1"/>
      <w:numFmt w:val="decimal"/>
      <w:lvlText w:val="%7."/>
      <w:lvlJc w:val="left"/>
      <w:pPr>
        <w:ind w:left="8640" w:hanging="360"/>
      </w:pPr>
    </w:lvl>
    <w:lvl w:ilvl="7" w:tplc="080A0019">
      <w:start w:val="1"/>
      <w:numFmt w:val="lowerLetter"/>
      <w:lvlText w:val="%8."/>
      <w:lvlJc w:val="left"/>
      <w:pPr>
        <w:ind w:left="9360" w:hanging="360"/>
      </w:pPr>
    </w:lvl>
    <w:lvl w:ilvl="8" w:tplc="080A001B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65BA4C30"/>
    <w:multiLevelType w:val="hybridMultilevel"/>
    <w:tmpl w:val="DB98E9AA"/>
    <w:lvl w:ilvl="0" w:tplc="FA6CC468">
      <w:numFmt w:val="bullet"/>
      <w:lvlText w:val=""/>
      <w:lvlJc w:val="left"/>
      <w:pPr>
        <w:ind w:left="1428" w:hanging="360"/>
      </w:pPr>
      <w:rPr>
        <w:rFonts w:ascii="Symbol" w:eastAsia="Times New Roman" w:hAnsi="Symbol" w:cs="Arial" w:hint="default"/>
      </w:rPr>
    </w:lvl>
    <w:lvl w:ilvl="1" w:tplc="0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773"/>
    <w:rsid w:val="00015DE5"/>
    <w:rsid w:val="00023C06"/>
    <w:rsid w:val="0002428C"/>
    <w:rsid w:val="00030067"/>
    <w:rsid w:val="000311A1"/>
    <w:rsid w:val="00040E1B"/>
    <w:rsid w:val="00060AF1"/>
    <w:rsid w:val="0006108F"/>
    <w:rsid w:val="00076141"/>
    <w:rsid w:val="00077D2B"/>
    <w:rsid w:val="00094813"/>
    <w:rsid w:val="00094F24"/>
    <w:rsid w:val="000D4A8C"/>
    <w:rsid w:val="000D7EBB"/>
    <w:rsid w:val="000E2D74"/>
    <w:rsid w:val="000F1D11"/>
    <w:rsid w:val="0010059E"/>
    <w:rsid w:val="001043CA"/>
    <w:rsid w:val="001110B8"/>
    <w:rsid w:val="00114297"/>
    <w:rsid w:val="00115F42"/>
    <w:rsid w:val="001177A1"/>
    <w:rsid w:val="00120690"/>
    <w:rsid w:val="00133DD8"/>
    <w:rsid w:val="001357F9"/>
    <w:rsid w:val="00137B4E"/>
    <w:rsid w:val="00147D13"/>
    <w:rsid w:val="0015486E"/>
    <w:rsid w:val="001556D5"/>
    <w:rsid w:val="00156BDF"/>
    <w:rsid w:val="00156F6B"/>
    <w:rsid w:val="001752CD"/>
    <w:rsid w:val="001A774D"/>
    <w:rsid w:val="001C631D"/>
    <w:rsid w:val="001D0096"/>
    <w:rsid w:val="001D0168"/>
    <w:rsid w:val="002223E9"/>
    <w:rsid w:val="00224CD6"/>
    <w:rsid w:val="00272DB8"/>
    <w:rsid w:val="002767FD"/>
    <w:rsid w:val="00293A30"/>
    <w:rsid w:val="002B132A"/>
    <w:rsid w:val="002D63DD"/>
    <w:rsid w:val="00324BF9"/>
    <w:rsid w:val="00336C1D"/>
    <w:rsid w:val="00342B74"/>
    <w:rsid w:val="00360661"/>
    <w:rsid w:val="00383AC0"/>
    <w:rsid w:val="0038699C"/>
    <w:rsid w:val="003B5647"/>
    <w:rsid w:val="003D019C"/>
    <w:rsid w:val="003F00A0"/>
    <w:rsid w:val="003F73B3"/>
    <w:rsid w:val="004003C7"/>
    <w:rsid w:val="00406F3F"/>
    <w:rsid w:val="00417E88"/>
    <w:rsid w:val="0042293B"/>
    <w:rsid w:val="00422B1C"/>
    <w:rsid w:val="00427E0A"/>
    <w:rsid w:val="004415CA"/>
    <w:rsid w:val="00446C7B"/>
    <w:rsid w:val="0045532A"/>
    <w:rsid w:val="004633DA"/>
    <w:rsid w:val="00470785"/>
    <w:rsid w:val="00480CB7"/>
    <w:rsid w:val="004914A1"/>
    <w:rsid w:val="00495F37"/>
    <w:rsid w:val="004B2E58"/>
    <w:rsid w:val="004B6E45"/>
    <w:rsid w:val="0051708A"/>
    <w:rsid w:val="00522591"/>
    <w:rsid w:val="00534096"/>
    <w:rsid w:val="00564398"/>
    <w:rsid w:val="00566705"/>
    <w:rsid w:val="00597D72"/>
    <w:rsid w:val="005A19B7"/>
    <w:rsid w:val="005D0C08"/>
    <w:rsid w:val="005D0FB6"/>
    <w:rsid w:val="005D4769"/>
    <w:rsid w:val="005F0600"/>
    <w:rsid w:val="005F1916"/>
    <w:rsid w:val="005F340F"/>
    <w:rsid w:val="00601B61"/>
    <w:rsid w:val="0063234D"/>
    <w:rsid w:val="006377F2"/>
    <w:rsid w:val="0064000A"/>
    <w:rsid w:val="00663773"/>
    <w:rsid w:val="00664376"/>
    <w:rsid w:val="006779FF"/>
    <w:rsid w:val="00682A64"/>
    <w:rsid w:val="006836A1"/>
    <w:rsid w:val="006920C3"/>
    <w:rsid w:val="006972AC"/>
    <w:rsid w:val="006A0225"/>
    <w:rsid w:val="006C3FEA"/>
    <w:rsid w:val="006D10B0"/>
    <w:rsid w:val="006D5E34"/>
    <w:rsid w:val="006D6610"/>
    <w:rsid w:val="006D7838"/>
    <w:rsid w:val="00703E4A"/>
    <w:rsid w:val="00707817"/>
    <w:rsid w:val="0075239B"/>
    <w:rsid w:val="007550FA"/>
    <w:rsid w:val="00756D29"/>
    <w:rsid w:val="00773E7E"/>
    <w:rsid w:val="0078375E"/>
    <w:rsid w:val="007A0642"/>
    <w:rsid w:val="007A65B2"/>
    <w:rsid w:val="007C1D17"/>
    <w:rsid w:val="00800A98"/>
    <w:rsid w:val="008038AB"/>
    <w:rsid w:val="00804156"/>
    <w:rsid w:val="00811FF6"/>
    <w:rsid w:val="008125D8"/>
    <w:rsid w:val="00814631"/>
    <w:rsid w:val="00856A70"/>
    <w:rsid w:val="00860FCA"/>
    <w:rsid w:val="0087493A"/>
    <w:rsid w:val="00877188"/>
    <w:rsid w:val="008867B0"/>
    <w:rsid w:val="00896583"/>
    <w:rsid w:val="008D2D76"/>
    <w:rsid w:val="008F4DE4"/>
    <w:rsid w:val="008F725A"/>
    <w:rsid w:val="00906161"/>
    <w:rsid w:val="009173D1"/>
    <w:rsid w:val="00941882"/>
    <w:rsid w:val="00956E10"/>
    <w:rsid w:val="00964A9F"/>
    <w:rsid w:val="009B1FFA"/>
    <w:rsid w:val="009C769E"/>
    <w:rsid w:val="009E25DB"/>
    <w:rsid w:val="00A115F1"/>
    <w:rsid w:val="00A3217F"/>
    <w:rsid w:val="00A410CF"/>
    <w:rsid w:val="00A547F7"/>
    <w:rsid w:val="00A7260D"/>
    <w:rsid w:val="00A72D54"/>
    <w:rsid w:val="00A774E0"/>
    <w:rsid w:val="00A82416"/>
    <w:rsid w:val="00A90D74"/>
    <w:rsid w:val="00AA0F8C"/>
    <w:rsid w:val="00AA6F2B"/>
    <w:rsid w:val="00AB5807"/>
    <w:rsid w:val="00AC0B50"/>
    <w:rsid w:val="00AD1CA8"/>
    <w:rsid w:val="00AD5A18"/>
    <w:rsid w:val="00AD6B7F"/>
    <w:rsid w:val="00AE2F96"/>
    <w:rsid w:val="00B47756"/>
    <w:rsid w:val="00B54709"/>
    <w:rsid w:val="00B6748E"/>
    <w:rsid w:val="00B674DD"/>
    <w:rsid w:val="00B83B7B"/>
    <w:rsid w:val="00B94536"/>
    <w:rsid w:val="00BA301E"/>
    <w:rsid w:val="00BA634C"/>
    <w:rsid w:val="00BB32C1"/>
    <w:rsid w:val="00BC10FC"/>
    <w:rsid w:val="00C02DDE"/>
    <w:rsid w:val="00C03B3C"/>
    <w:rsid w:val="00C24C1F"/>
    <w:rsid w:val="00C3639A"/>
    <w:rsid w:val="00C45173"/>
    <w:rsid w:val="00C506A0"/>
    <w:rsid w:val="00C52186"/>
    <w:rsid w:val="00C62F28"/>
    <w:rsid w:val="00C66CD6"/>
    <w:rsid w:val="00C67600"/>
    <w:rsid w:val="00C75875"/>
    <w:rsid w:val="00C77B18"/>
    <w:rsid w:val="00C82078"/>
    <w:rsid w:val="00CA0B43"/>
    <w:rsid w:val="00CA4110"/>
    <w:rsid w:val="00CB1229"/>
    <w:rsid w:val="00CB698C"/>
    <w:rsid w:val="00CB75D3"/>
    <w:rsid w:val="00CD0B4A"/>
    <w:rsid w:val="00CD490F"/>
    <w:rsid w:val="00CD7520"/>
    <w:rsid w:val="00CE305D"/>
    <w:rsid w:val="00CE6ADA"/>
    <w:rsid w:val="00CF0B85"/>
    <w:rsid w:val="00CF4436"/>
    <w:rsid w:val="00CF556F"/>
    <w:rsid w:val="00D13205"/>
    <w:rsid w:val="00D17426"/>
    <w:rsid w:val="00D312D3"/>
    <w:rsid w:val="00D329EE"/>
    <w:rsid w:val="00D36E55"/>
    <w:rsid w:val="00D76224"/>
    <w:rsid w:val="00DE1145"/>
    <w:rsid w:val="00E078F7"/>
    <w:rsid w:val="00E21F25"/>
    <w:rsid w:val="00E36A10"/>
    <w:rsid w:val="00E531DD"/>
    <w:rsid w:val="00E57714"/>
    <w:rsid w:val="00E626A2"/>
    <w:rsid w:val="00E9540A"/>
    <w:rsid w:val="00EA17EE"/>
    <w:rsid w:val="00EA6B0C"/>
    <w:rsid w:val="00EF5790"/>
    <w:rsid w:val="00F0357F"/>
    <w:rsid w:val="00F04AED"/>
    <w:rsid w:val="00F04F7C"/>
    <w:rsid w:val="00F34CC8"/>
    <w:rsid w:val="00F37603"/>
    <w:rsid w:val="00F61178"/>
    <w:rsid w:val="00F62F2C"/>
    <w:rsid w:val="00F7409A"/>
    <w:rsid w:val="00F756C2"/>
    <w:rsid w:val="00F81D7B"/>
    <w:rsid w:val="00F92003"/>
    <w:rsid w:val="00FA37A6"/>
    <w:rsid w:val="00FC1F2A"/>
    <w:rsid w:val="00FC5680"/>
    <w:rsid w:val="00FD70D6"/>
    <w:rsid w:val="00FE4C5C"/>
    <w:rsid w:val="00FE76CA"/>
    <w:rsid w:val="00FF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E2D95D-A8C4-40F7-BEE6-55446E94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F0357F"/>
    <w:rPr>
      <w:b/>
      <w:bCs/>
    </w:rPr>
  </w:style>
  <w:style w:type="character" w:styleId="nfasis">
    <w:name w:val="Emphasis"/>
    <w:basedOn w:val="Fuentedeprrafopredeter"/>
    <w:uiPriority w:val="20"/>
    <w:qFormat/>
    <w:rsid w:val="00F0357F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66377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63773"/>
  </w:style>
  <w:style w:type="paragraph" w:styleId="Piedepgina">
    <w:name w:val="footer"/>
    <w:basedOn w:val="Normal"/>
    <w:link w:val="PiedepginaCar"/>
    <w:uiPriority w:val="99"/>
    <w:unhideWhenUsed/>
    <w:rsid w:val="0066377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63773"/>
  </w:style>
  <w:style w:type="table" w:styleId="Tablaconcuadrcula">
    <w:name w:val="Table Grid"/>
    <w:basedOn w:val="Tablanormal"/>
    <w:uiPriority w:val="59"/>
    <w:rsid w:val="00663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3773"/>
    <w:rPr>
      <w:rFonts w:ascii="Tahoma" w:eastAsiaTheme="minorHAnsi" w:hAnsi="Tahoma" w:cs="Tahoma"/>
      <w:sz w:val="16"/>
      <w:szCs w:val="16"/>
      <w:lang w:val="es-MX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377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8F4DE4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55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CD752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52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40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0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E11DA-CCE3-477D-B8D7-73E15FB5A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1585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7 PoInT</Company>
  <LinksUpToDate>false</LinksUpToDate>
  <CharactersWithSpaces>10288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cp:lastModifiedBy>usuario</cp:lastModifiedBy>
  <cp:revision>8</cp:revision>
  <cp:lastPrinted>2020-03-13T23:48:00Z</cp:lastPrinted>
  <dcterms:created xsi:type="dcterms:W3CDTF">2020-03-13T17:17:00Z</dcterms:created>
  <dcterms:modified xsi:type="dcterms:W3CDTF">2020-03-13T23:48:00Z</dcterms:modified>
</cp:coreProperties>
</file>